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2815" w:val="left" w:leader="none"/>
        </w:tabs>
        <w:spacing w:line="240" w:lineRule="auto"/>
        <w:ind w:left="1065" w:right="0" w:firstLine="0"/>
        <w:rPr>
          <w:rFonts w:ascii="Times New Roman"/>
          <w:position w:val="9"/>
          <w:sz w:val="20"/>
        </w:rPr>
      </w:pPr>
      <w:r>
        <w:rPr>
          <w:rFonts w:ascii="Times New Roman"/>
          <w:sz w:val="20"/>
        </w:rPr>
        <w:drawing>
          <wp:inline distT="0" distB="0" distL="0" distR="0">
            <wp:extent cx="782075" cy="649224"/>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782075" cy="649224"/>
                    </a:xfrm>
                    <a:prstGeom prst="rect">
                      <a:avLst/>
                    </a:prstGeom>
                  </pic:spPr>
                </pic:pic>
              </a:graphicData>
            </a:graphic>
          </wp:inline>
        </w:drawing>
      </w:r>
      <w:r>
        <w:rPr>
          <w:rFonts w:ascii="Times New Roman"/>
          <w:sz w:val="20"/>
        </w:rPr>
      </w:r>
      <w:r>
        <w:rPr>
          <w:rFonts w:ascii="Times New Roman"/>
          <w:sz w:val="20"/>
        </w:rPr>
        <w:tab/>
      </w:r>
      <w:r>
        <w:rPr>
          <w:rFonts w:ascii="Times New Roman"/>
          <w:position w:val="9"/>
          <w:sz w:val="20"/>
        </w:rPr>
        <w:drawing>
          <wp:inline distT="0" distB="0" distL="0" distR="0">
            <wp:extent cx="4469305" cy="493775"/>
            <wp:effectExtent l="0" t="0" r="0" b="0"/>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4469305" cy="493775"/>
                    </a:xfrm>
                    <a:prstGeom prst="rect">
                      <a:avLst/>
                    </a:prstGeom>
                  </pic:spPr>
                </pic:pic>
              </a:graphicData>
            </a:graphic>
          </wp:inline>
        </w:drawing>
      </w:r>
      <w:r>
        <w:rPr>
          <w:rFonts w:ascii="Times New Roman"/>
          <w:position w:val="9"/>
          <w:sz w:val="20"/>
        </w:rPr>
      </w:r>
    </w:p>
    <w:p>
      <w:pPr>
        <w:pStyle w:val="BodyText"/>
        <w:rPr>
          <w:rFonts w:ascii="Times New Roman"/>
          <w:sz w:val="28"/>
        </w:rPr>
      </w:pPr>
    </w:p>
    <w:p>
      <w:pPr>
        <w:pStyle w:val="BodyText"/>
        <w:spacing w:before="89"/>
        <w:rPr>
          <w:rFonts w:ascii="Times New Roman"/>
          <w:sz w:val="28"/>
        </w:rPr>
      </w:pPr>
    </w:p>
    <w:p>
      <w:pPr>
        <w:pStyle w:val="Heading1"/>
        <w:ind w:left="2741" w:right="875" w:hanging="1299"/>
      </w:pPr>
      <w:r>
        <w:rPr/>
        <w:t>Observations</w:t>
      </w:r>
      <w:r>
        <w:rPr>
          <w:spacing w:val="-3"/>
        </w:rPr>
        <w:t> </w:t>
      </w:r>
      <w:r>
        <w:rPr/>
        <w:t>Policy</w:t>
      </w:r>
      <w:r>
        <w:rPr>
          <w:spacing w:val="-11"/>
        </w:rPr>
        <w:t> </w:t>
      </w:r>
      <w:r>
        <w:rPr/>
        <w:t>-</w:t>
      </w:r>
      <w:r>
        <w:rPr>
          <w:spacing w:val="-3"/>
        </w:rPr>
        <w:t> </w:t>
      </w:r>
      <w:r>
        <w:rPr/>
        <w:t>Minimum</w:t>
      </w:r>
      <w:r>
        <w:rPr>
          <w:spacing w:val="-6"/>
        </w:rPr>
        <w:t> </w:t>
      </w:r>
      <w:r>
        <w:rPr/>
        <w:t>Standards</w:t>
      </w:r>
      <w:r>
        <w:rPr>
          <w:spacing w:val="-3"/>
        </w:rPr>
        <w:t> </w:t>
      </w:r>
      <w:r>
        <w:rPr/>
        <w:t>for</w:t>
      </w:r>
      <w:r>
        <w:rPr>
          <w:spacing w:val="-6"/>
        </w:rPr>
        <w:t> </w:t>
      </w:r>
      <w:r>
        <w:rPr/>
        <w:t>Monitoring</w:t>
      </w:r>
      <w:r>
        <w:rPr>
          <w:spacing w:val="-5"/>
        </w:rPr>
        <w:t> </w:t>
      </w:r>
      <w:r>
        <w:rPr/>
        <w:t>and Recording Adult Physiological Vital Signs</w:t>
      </w:r>
    </w:p>
    <w:p>
      <w:pPr>
        <w:pStyle w:val="BodyText"/>
        <w:rPr>
          <w:rFonts w:ascii="Arial"/>
          <w:b/>
          <w:sz w:val="20"/>
        </w:rPr>
      </w:pPr>
    </w:p>
    <w:p>
      <w:pPr>
        <w:pStyle w:val="BodyText"/>
        <w:spacing w:before="198"/>
        <w:rPr>
          <w:rFonts w:ascii="Arial"/>
          <w:b/>
          <w:sz w:val="20"/>
        </w:rPr>
      </w:pPr>
    </w:p>
    <w:tbl>
      <w:tblPr>
        <w:tblW w:w="0" w:type="auto"/>
        <w:jc w:val="left"/>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13"/>
        <w:gridCol w:w="4489"/>
      </w:tblGrid>
      <w:tr>
        <w:trPr>
          <w:trHeight w:val="515" w:hRule="atLeast"/>
        </w:trPr>
        <w:tc>
          <w:tcPr>
            <w:tcW w:w="4513" w:type="dxa"/>
          </w:tcPr>
          <w:p>
            <w:pPr>
              <w:pStyle w:val="TableParagraph"/>
              <w:spacing w:before="115"/>
              <w:ind w:left="107"/>
              <w:rPr>
                <w:sz w:val="24"/>
              </w:rPr>
            </w:pPr>
            <w:r>
              <w:rPr>
                <w:spacing w:val="-2"/>
                <w:sz w:val="24"/>
              </w:rPr>
              <w:t>Version:</w:t>
            </w:r>
          </w:p>
        </w:tc>
        <w:tc>
          <w:tcPr>
            <w:tcW w:w="4489" w:type="dxa"/>
          </w:tcPr>
          <w:p>
            <w:pPr>
              <w:pStyle w:val="TableParagraph"/>
              <w:spacing w:before="115"/>
              <w:ind w:left="107"/>
              <w:rPr>
                <w:sz w:val="24"/>
              </w:rPr>
            </w:pPr>
            <w:r>
              <w:rPr>
                <w:spacing w:val="-4"/>
                <w:sz w:val="24"/>
              </w:rPr>
              <w:t>V2.0</w:t>
            </w:r>
          </w:p>
        </w:tc>
      </w:tr>
      <w:tr>
        <w:trPr>
          <w:trHeight w:val="516" w:hRule="atLeast"/>
        </w:trPr>
        <w:tc>
          <w:tcPr>
            <w:tcW w:w="4513" w:type="dxa"/>
          </w:tcPr>
          <w:p>
            <w:pPr>
              <w:pStyle w:val="TableParagraph"/>
              <w:spacing w:before="116"/>
              <w:ind w:left="107"/>
              <w:rPr>
                <w:sz w:val="24"/>
              </w:rPr>
            </w:pPr>
            <w:r>
              <w:rPr>
                <w:sz w:val="24"/>
              </w:rPr>
              <w:t>Ratified</w:t>
            </w:r>
            <w:r>
              <w:rPr>
                <w:spacing w:val="-7"/>
                <w:sz w:val="24"/>
              </w:rPr>
              <w:t> </w:t>
            </w:r>
            <w:r>
              <w:rPr>
                <w:spacing w:val="-5"/>
                <w:sz w:val="24"/>
              </w:rPr>
              <w:t>by:</w:t>
            </w:r>
          </w:p>
        </w:tc>
        <w:tc>
          <w:tcPr>
            <w:tcW w:w="4489" w:type="dxa"/>
          </w:tcPr>
          <w:p>
            <w:pPr>
              <w:pStyle w:val="TableParagraph"/>
              <w:spacing w:before="116"/>
              <w:ind w:left="107"/>
              <w:rPr>
                <w:sz w:val="24"/>
              </w:rPr>
            </w:pPr>
            <w:r>
              <w:rPr>
                <w:sz w:val="24"/>
              </w:rPr>
              <w:t>Healthcare</w:t>
            </w:r>
            <w:r>
              <w:rPr>
                <w:spacing w:val="-16"/>
                <w:sz w:val="24"/>
              </w:rPr>
              <w:t> </w:t>
            </w:r>
            <w:r>
              <w:rPr>
                <w:sz w:val="24"/>
              </w:rPr>
              <w:t>Governance</w:t>
            </w:r>
            <w:r>
              <w:rPr>
                <w:spacing w:val="-13"/>
                <w:sz w:val="24"/>
              </w:rPr>
              <w:t> </w:t>
            </w:r>
            <w:r>
              <w:rPr>
                <w:spacing w:val="-2"/>
                <w:sz w:val="24"/>
              </w:rPr>
              <w:t>Committee</w:t>
            </w:r>
          </w:p>
        </w:tc>
      </w:tr>
      <w:tr>
        <w:trPr>
          <w:trHeight w:val="515" w:hRule="atLeast"/>
        </w:trPr>
        <w:tc>
          <w:tcPr>
            <w:tcW w:w="4513" w:type="dxa"/>
          </w:tcPr>
          <w:p>
            <w:pPr>
              <w:pStyle w:val="TableParagraph"/>
              <w:spacing w:before="115"/>
              <w:ind w:left="107"/>
              <w:rPr>
                <w:sz w:val="24"/>
              </w:rPr>
            </w:pPr>
            <w:r>
              <w:rPr>
                <w:sz w:val="24"/>
              </w:rPr>
              <w:t>Date</w:t>
            </w:r>
            <w:r>
              <w:rPr>
                <w:spacing w:val="-4"/>
                <w:sz w:val="24"/>
              </w:rPr>
              <w:t> </w:t>
            </w:r>
            <w:r>
              <w:rPr>
                <w:spacing w:val="-2"/>
                <w:sz w:val="24"/>
              </w:rPr>
              <w:t>ratified:</w:t>
            </w:r>
          </w:p>
        </w:tc>
        <w:tc>
          <w:tcPr>
            <w:tcW w:w="4489" w:type="dxa"/>
          </w:tcPr>
          <w:p>
            <w:pPr>
              <w:pStyle w:val="TableParagraph"/>
              <w:spacing w:before="115"/>
              <w:ind w:left="107"/>
              <w:rPr>
                <w:sz w:val="24"/>
              </w:rPr>
            </w:pPr>
            <w:r>
              <w:rPr>
                <w:sz w:val="24"/>
              </w:rPr>
              <w:t>24</w:t>
            </w:r>
            <w:r>
              <w:rPr>
                <w:spacing w:val="-4"/>
                <w:sz w:val="24"/>
              </w:rPr>
              <w:t> </w:t>
            </w:r>
            <w:r>
              <w:rPr>
                <w:sz w:val="24"/>
              </w:rPr>
              <w:t>August</w:t>
            </w:r>
            <w:r>
              <w:rPr>
                <w:spacing w:val="-3"/>
                <w:sz w:val="24"/>
              </w:rPr>
              <w:t> </w:t>
            </w:r>
            <w:r>
              <w:rPr>
                <w:spacing w:val="-4"/>
                <w:sz w:val="24"/>
              </w:rPr>
              <w:t>2012</w:t>
            </w:r>
          </w:p>
        </w:tc>
      </w:tr>
      <w:tr>
        <w:trPr>
          <w:trHeight w:val="1703" w:hRule="atLeast"/>
        </w:trPr>
        <w:tc>
          <w:tcPr>
            <w:tcW w:w="4513" w:type="dxa"/>
          </w:tcPr>
          <w:p>
            <w:pPr>
              <w:pStyle w:val="TableParagraph"/>
              <w:spacing w:before="115"/>
              <w:ind w:left="107"/>
              <w:rPr>
                <w:sz w:val="24"/>
              </w:rPr>
            </w:pPr>
            <w:r>
              <w:rPr>
                <w:sz w:val="24"/>
              </w:rPr>
              <w:t>Name</w:t>
            </w:r>
            <w:r>
              <w:rPr>
                <w:spacing w:val="-14"/>
                <w:sz w:val="24"/>
              </w:rPr>
              <w:t> </w:t>
            </w:r>
            <w:r>
              <w:rPr>
                <w:sz w:val="24"/>
              </w:rPr>
              <w:t>of</w:t>
            </w:r>
            <w:r>
              <w:rPr>
                <w:spacing w:val="-13"/>
                <w:sz w:val="24"/>
              </w:rPr>
              <w:t> </w:t>
            </w:r>
            <w:r>
              <w:rPr>
                <w:sz w:val="24"/>
              </w:rPr>
              <w:t>originator/author/job</w:t>
            </w:r>
            <w:r>
              <w:rPr>
                <w:spacing w:val="-12"/>
                <w:sz w:val="24"/>
              </w:rPr>
              <w:t> </w:t>
            </w:r>
            <w:r>
              <w:rPr>
                <w:spacing w:val="-2"/>
                <w:sz w:val="24"/>
              </w:rPr>
              <w:t>title:</w:t>
            </w:r>
          </w:p>
        </w:tc>
        <w:tc>
          <w:tcPr>
            <w:tcW w:w="4489" w:type="dxa"/>
          </w:tcPr>
          <w:p>
            <w:pPr>
              <w:pStyle w:val="TableParagraph"/>
              <w:spacing w:line="343" w:lineRule="auto" w:before="115"/>
              <w:ind w:left="107" w:right="213"/>
              <w:rPr>
                <w:sz w:val="24"/>
              </w:rPr>
            </w:pPr>
            <w:r>
              <w:rPr>
                <w:sz w:val="24"/>
              </w:rPr>
              <w:t>Sr.</w:t>
            </w:r>
            <w:r>
              <w:rPr>
                <w:spacing w:val="-9"/>
                <w:sz w:val="24"/>
              </w:rPr>
              <w:t> </w:t>
            </w:r>
            <w:r>
              <w:rPr>
                <w:sz w:val="24"/>
              </w:rPr>
              <w:t>Elaine</w:t>
            </w:r>
            <w:r>
              <w:rPr>
                <w:spacing w:val="-11"/>
                <w:sz w:val="24"/>
              </w:rPr>
              <w:t> </w:t>
            </w:r>
            <w:r>
              <w:rPr>
                <w:sz w:val="24"/>
              </w:rPr>
              <w:t>Grainger,</w:t>
            </w:r>
            <w:r>
              <w:rPr>
                <w:spacing w:val="-8"/>
                <w:sz w:val="24"/>
              </w:rPr>
              <w:t> </w:t>
            </w:r>
            <w:r>
              <w:rPr>
                <w:sz w:val="24"/>
              </w:rPr>
              <w:t>Lead</w:t>
            </w:r>
            <w:r>
              <w:rPr>
                <w:spacing w:val="-9"/>
                <w:sz w:val="24"/>
              </w:rPr>
              <w:t> </w:t>
            </w:r>
            <w:r>
              <w:rPr>
                <w:sz w:val="24"/>
              </w:rPr>
              <w:t>Nurse. Critical Care Outreach Team</w:t>
            </w:r>
          </w:p>
          <w:p>
            <w:pPr>
              <w:pStyle w:val="TableParagraph"/>
              <w:spacing w:before="3"/>
              <w:ind w:left="107"/>
              <w:rPr>
                <w:sz w:val="24"/>
              </w:rPr>
            </w:pPr>
            <w:r>
              <w:rPr>
                <w:sz w:val="24"/>
              </w:rPr>
              <w:t>Dr</w:t>
            </w:r>
            <w:r>
              <w:rPr>
                <w:spacing w:val="-7"/>
                <w:sz w:val="24"/>
              </w:rPr>
              <w:t> </w:t>
            </w:r>
            <w:r>
              <w:rPr>
                <w:sz w:val="24"/>
              </w:rPr>
              <w:t>Indeewar</w:t>
            </w:r>
            <w:r>
              <w:rPr>
                <w:spacing w:val="-4"/>
                <w:sz w:val="24"/>
              </w:rPr>
              <w:t> </w:t>
            </w:r>
            <w:r>
              <w:rPr>
                <w:sz w:val="24"/>
              </w:rPr>
              <w:t>Kapila,</w:t>
            </w:r>
            <w:r>
              <w:rPr>
                <w:spacing w:val="-3"/>
                <w:sz w:val="24"/>
              </w:rPr>
              <w:t> </w:t>
            </w:r>
            <w:r>
              <w:rPr>
                <w:sz w:val="24"/>
              </w:rPr>
              <w:t>Clinical</w:t>
            </w:r>
            <w:r>
              <w:rPr>
                <w:spacing w:val="-4"/>
                <w:sz w:val="24"/>
              </w:rPr>
              <w:t> </w:t>
            </w:r>
            <w:r>
              <w:rPr>
                <w:spacing w:val="-2"/>
                <w:sz w:val="24"/>
              </w:rPr>
              <w:t>Director.</w:t>
            </w:r>
          </w:p>
          <w:p>
            <w:pPr>
              <w:pStyle w:val="TableParagraph"/>
              <w:spacing w:before="120"/>
              <w:ind w:left="107"/>
              <w:rPr>
                <w:sz w:val="24"/>
              </w:rPr>
            </w:pPr>
            <w:r>
              <w:rPr>
                <w:sz w:val="24"/>
              </w:rPr>
              <w:t>Critical</w:t>
            </w:r>
            <w:r>
              <w:rPr>
                <w:spacing w:val="-7"/>
                <w:sz w:val="24"/>
              </w:rPr>
              <w:t> </w:t>
            </w:r>
            <w:r>
              <w:rPr>
                <w:sz w:val="24"/>
              </w:rPr>
              <w:t>Care</w:t>
            </w:r>
            <w:r>
              <w:rPr>
                <w:spacing w:val="-7"/>
                <w:sz w:val="24"/>
              </w:rPr>
              <w:t> </w:t>
            </w:r>
            <w:r>
              <w:rPr>
                <w:sz w:val="24"/>
              </w:rPr>
              <w:t>Outreach</w:t>
            </w:r>
            <w:r>
              <w:rPr>
                <w:spacing w:val="-8"/>
                <w:sz w:val="24"/>
              </w:rPr>
              <w:t> </w:t>
            </w:r>
            <w:r>
              <w:rPr>
                <w:spacing w:val="-4"/>
                <w:sz w:val="24"/>
              </w:rPr>
              <w:t>Team</w:t>
            </w:r>
          </w:p>
        </w:tc>
      </w:tr>
      <w:tr>
        <w:trPr>
          <w:trHeight w:val="791" w:hRule="atLeast"/>
        </w:trPr>
        <w:tc>
          <w:tcPr>
            <w:tcW w:w="4513" w:type="dxa"/>
          </w:tcPr>
          <w:p>
            <w:pPr>
              <w:pStyle w:val="TableParagraph"/>
              <w:spacing w:before="115"/>
              <w:ind w:left="107" w:right="16"/>
              <w:rPr>
                <w:sz w:val="24"/>
              </w:rPr>
            </w:pPr>
            <w:r>
              <w:rPr>
                <w:sz w:val="24"/>
              </w:rPr>
              <w:t>Name</w:t>
            </w:r>
            <w:r>
              <w:rPr>
                <w:spacing w:val="-1"/>
                <w:sz w:val="24"/>
              </w:rPr>
              <w:t> </w:t>
            </w:r>
            <w:r>
              <w:rPr>
                <w:sz w:val="24"/>
              </w:rPr>
              <w:t>of responsible </w:t>
            </w:r>
            <w:r>
              <w:rPr>
                <w:spacing w:val="-2"/>
                <w:sz w:val="24"/>
              </w:rPr>
              <w:t>committee/individual:</w:t>
            </w:r>
          </w:p>
        </w:tc>
        <w:tc>
          <w:tcPr>
            <w:tcW w:w="4489" w:type="dxa"/>
          </w:tcPr>
          <w:p>
            <w:pPr>
              <w:pStyle w:val="TableParagraph"/>
              <w:spacing w:before="115"/>
              <w:ind w:left="107"/>
              <w:rPr>
                <w:sz w:val="24"/>
              </w:rPr>
            </w:pPr>
            <w:r>
              <w:rPr>
                <w:sz w:val="24"/>
              </w:rPr>
              <w:t>Health</w:t>
            </w:r>
            <w:r>
              <w:rPr>
                <w:spacing w:val="-10"/>
                <w:sz w:val="24"/>
              </w:rPr>
              <w:t> </w:t>
            </w:r>
            <w:r>
              <w:rPr>
                <w:sz w:val="24"/>
              </w:rPr>
              <w:t>Care</w:t>
            </w:r>
            <w:r>
              <w:rPr>
                <w:spacing w:val="-9"/>
                <w:sz w:val="24"/>
              </w:rPr>
              <w:t> </w:t>
            </w:r>
            <w:r>
              <w:rPr>
                <w:sz w:val="24"/>
              </w:rPr>
              <w:t>Governance</w:t>
            </w:r>
            <w:r>
              <w:rPr>
                <w:spacing w:val="-9"/>
                <w:sz w:val="24"/>
              </w:rPr>
              <w:t> </w:t>
            </w:r>
            <w:r>
              <w:rPr>
                <w:spacing w:val="-2"/>
                <w:sz w:val="24"/>
              </w:rPr>
              <w:t>Committee</w:t>
            </w:r>
          </w:p>
        </w:tc>
      </w:tr>
      <w:tr>
        <w:trPr>
          <w:trHeight w:val="515" w:hRule="atLeast"/>
        </w:trPr>
        <w:tc>
          <w:tcPr>
            <w:tcW w:w="4513" w:type="dxa"/>
          </w:tcPr>
          <w:p>
            <w:pPr>
              <w:pStyle w:val="TableParagraph"/>
              <w:spacing w:before="115"/>
              <w:ind w:left="107"/>
              <w:rPr>
                <w:sz w:val="24"/>
              </w:rPr>
            </w:pPr>
            <w:r>
              <w:rPr>
                <w:sz w:val="24"/>
              </w:rPr>
              <w:t>Date</w:t>
            </w:r>
            <w:r>
              <w:rPr>
                <w:spacing w:val="-4"/>
                <w:sz w:val="24"/>
              </w:rPr>
              <w:t> </w:t>
            </w:r>
            <w:r>
              <w:rPr>
                <w:spacing w:val="-2"/>
                <w:sz w:val="24"/>
              </w:rPr>
              <w:t>issued:</w:t>
            </w:r>
          </w:p>
        </w:tc>
        <w:tc>
          <w:tcPr>
            <w:tcW w:w="4489" w:type="dxa"/>
          </w:tcPr>
          <w:p>
            <w:pPr>
              <w:pStyle w:val="TableParagraph"/>
              <w:spacing w:before="115"/>
              <w:ind w:left="107"/>
              <w:rPr>
                <w:sz w:val="24"/>
              </w:rPr>
            </w:pPr>
            <w:r>
              <w:rPr>
                <w:sz w:val="24"/>
              </w:rPr>
              <w:t>September</w:t>
            </w:r>
            <w:r>
              <w:rPr>
                <w:spacing w:val="-5"/>
                <w:sz w:val="24"/>
              </w:rPr>
              <w:t> </w:t>
            </w:r>
            <w:r>
              <w:rPr>
                <w:spacing w:val="-4"/>
                <w:sz w:val="24"/>
              </w:rPr>
              <w:t>2012</w:t>
            </w:r>
          </w:p>
        </w:tc>
      </w:tr>
      <w:tr>
        <w:trPr>
          <w:trHeight w:val="517" w:hRule="atLeast"/>
        </w:trPr>
        <w:tc>
          <w:tcPr>
            <w:tcW w:w="4513" w:type="dxa"/>
          </w:tcPr>
          <w:p>
            <w:pPr>
              <w:pStyle w:val="TableParagraph"/>
              <w:spacing w:before="118"/>
              <w:ind w:left="107"/>
              <w:rPr>
                <w:sz w:val="24"/>
              </w:rPr>
            </w:pPr>
            <w:r>
              <w:rPr>
                <w:sz w:val="24"/>
              </w:rPr>
              <w:t>Review</w:t>
            </w:r>
            <w:r>
              <w:rPr>
                <w:spacing w:val="-13"/>
                <w:sz w:val="24"/>
              </w:rPr>
              <w:t> </w:t>
            </w:r>
            <w:r>
              <w:rPr>
                <w:spacing w:val="-2"/>
                <w:sz w:val="24"/>
              </w:rPr>
              <w:t>date:</w:t>
            </w:r>
          </w:p>
        </w:tc>
        <w:tc>
          <w:tcPr>
            <w:tcW w:w="4489" w:type="dxa"/>
          </w:tcPr>
          <w:p>
            <w:pPr>
              <w:pStyle w:val="TableParagraph"/>
              <w:spacing w:before="118"/>
              <w:ind w:left="107"/>
              <w:rPr>
                <w:sz w:val="24"/>
              </w:rPr>
            </w:pPr>
            <w:r>
              <w:rPr>
                <w:sz w:val="24"/>
              </w:rPr>
              <w:t>July</w:t>
            </w:r>
            <w:r>
              <w:rPr>
                <w:spacing w:val="-4"/>
                <w:sz w:val="24"/>
              </w:rPr>
              <w:t> 2014</w:t>
            </w:r>
          </w:p>
        </w:tc>
      </w:tr>
      <w:tr>
        <w:trPr>
          <w:trHeight w:val="515" w:hRule="atLeast"/>
        </w:trPr>
        <w:tc>
          <w:tcPr>
            <w:tcW w:w="4513" w:type="dxa"/>
          </w:tcPr>
          <w:p>
            <w:pPr>
              <w:pStyle w:val="TableParagraph"/>
              <w:spacing w:before="115"/>
              <w:ind w:left="107"/>
              <w:rPr>
                <w:sz w:val="24"/>
              </w:rPr>
            </w:pPr>
            <w:r>
              <w:rPr>
                <w:sz w:val="24"/>
              </w:rPr>
              <w:t>Target</w:t>
            </w:r>
            <w:r>
              <w:rPr>
                <w:spacing w:val="-5"/>
                <w:sz w:val="24"/>
              </w:rPr>
              <w:t> </w:t>
            </w:r>
            <w:r>
              <w:rPr>
                <w:spacing w:val="-2"/>
                <w:sz w:val="24"/>
              </w:rPr>
              <w:t>audience:</w:t>
            </w:r>
          </w:p>
        </w:tc>
        <w:tc>
          <w:tcPr>
            <w:tcW w:w="4489" w:type="dxa"/>
          </w:tcPr>
          <w:p>
            <w:pPr>
              <w:pStyle w:val="TableParagraph"/>
              <w:spacing w:before="115"/>
              <w:ind w:left="107"/>
              <w:rPr>
                <w:sz w:val="24"/>
              </w:rPr>
            </w:pPr>
            <w:r>
              <w:rPr>
                <w:sz w:val="24"/>
              </w:rPr>
              <w:t>Foundation</w:t>
            </w:r>
            <w:r>
              <w:rPr>
                <w:spacing w:val="-3"/>
                <w:sz w:val="24"/>
              </w:rPr>
              <w:t> </w:t>
            </w:r>
            <w:r>
              <w:rPr>
                <w:sz w:val="24"/>
              </w:rPr>
              <w:t>Trust</w:t>
            </w:r>
            <w:r>
              <w:rPr>
                <w:spacing w:val="-3"/>
                <w:sz w:val="24"/>
              </w:rPr>
              <w:t> </w:t>
            </w:r>
            <w:r>
              <w:rPr>
                <w:spacing w:val="-4"/>
                <w:sz w:val="24"/>
              </w:rPr>
              <w:t>wide</w:t>
            </w:r>
          </w:p>
        </w:tc>
      </w:tr>
    </w:tbl>
    <w:p>
      <w:pPr>
        <w:pStyle w:val="BodyText"/>
        <w:rPr>
          <w:rFonts w:ascii="Arial"/>
          <w:b/>
          <w:sz w:val="28"/>
        </w:rPr>
      </w:pPr>
    </w:p>
    <w:p>
      <w:pPr>
        <w:pStyle w:val="BodyText"/>
        <w:spacing w:before="10"/>
        <w:rPr>
          <w:rFonts w:ascii="Arial"/>
          <w:b/>
          <w:sz w:val="28"/>
        </w:rPr>
      </w:pPr>
    </w:p>
    <w:p>
      <w:pPr>
        <w:spacing w:before="0"/>
        <w:ind w:left="1015" w:right="0" w:firstLine="0"/>
        <w:jc w:val="both"/>
        <w:rPr>
          <w:rFonts w:ascii="Arial"/>
          <w:b/>
          <w:sz w:val="28"/>
        </w:rPr>
      </w:pPr>
      <w:r>
        <w:rPr>
          <w:rFonts w:ascii="Arial"/>
          <w:b/>
          <w:sz w:val="28"/>
        </w:rPr>
        <w:t>EQUALITY</w:t>
      </w:r>
      <w:r>
        <w:rPr>
          <w:rFonts w:ascii="Arial"/>
          <w:b/>
          <w:spacing w:val="-7"/>
          <w:sz w:val="28"/>
        </w:rPr>
        <w:t> </w:t>
      </w:r>
      <w:r>
        <w:rPr>
          <w:rFonts w:ascii="Arial"/>
          <w:b/>
          <w:sz w:val="28"/>
        </w:rPr>
        <w:t>IMPACT</w:t>
      </w:r>
      <w:r>
        <w:rPr>
          <w:rFonts w:ascii="Arial"/>
          <w:b/>
          <w:spacing w:val="-6"/>
          <w:sz w:val="28"/>
        </w:rPr>
        <w:t> </w:t>
      </w:r>
      <w:r>
        <w:rPr>
          <w:rFonts w:ascii="Arial"/>
          <w:b/>
          <w:spacing w:val="-2"/>
          <w:sz w:val="28"/>
        </w:rPr>
        <w:t>STATEMENT</w:t>
      </w:r>
    </w:p>
    <w:p>
      <w:pPr>
        <w:pStyle w:val="BodyText"/>
        <w:rPr>
          <w:rFonts w:ascii="Arial"/>
          <w:b/>
          <w:sz w:val="28"/>
        </w:rPr>
      </w:pPr>
    </w:p>
    <w:p>
      <w:pPr>
        <w:pStyle w:val="BodyText"/>
        <w:spacing w:before="79"/>
        <w:rPr>
          <w:rFonts w:ascii="Arial"/>
          <w:b/>
          <w:sz w:val="28"/>
        </w:rPr>
      </w:pPr>
    </w:p>
    <w:p>
      <w:pPr>
        <w:spacing w:before="1"/>
        <w:ind w:left="1015" w:right="870" w:firstLine="0"/>
        <w:jc w:val="both"/>
        <w:rPr>
          <w:sz w:val="22"/>
        </w:rPr>
      </w:pPr>
      <w:r>
        <w:rPr>
          <w:sz w:val="22"/>
        </w:rPr>
        <w:t>The Trust strives to ensure equality of opportunity for all both as a major employer and as a provider of health care. This Policy Document has therefore been equality impact assessed by the </w:t>
      </w:r>
      <w:r>
        <w:rPr>
          <w:sz w:val="24"/>
        </w:rPr>
        <w:t>Health Care Governance Committee </w:t>
      </w:r>
      <w:r>
        <w:rPr>
          <w:sz w:val="22"/>
        </w:rPr>
        <w:t>to ensure fairness and consistency for all those covered by it regardless of their individual differences, and the results are shown in Appendix D.</w:t>
      </w:r>
    </w:p>
    <w:p>
      <w:pPr>
        <w:spacing w:after="0"/>
        <w:jc w:val="both"/>
        <w:rPr>
          <w:sz w:val="22"/>
        </w:rPr>
        <w:sectPr>
          <w:footerReference w:type="default" r:id="rId5"/>
          <w:type w:val="continuous"/>
          <w:pgSz w:w="11910" w:h="16840"/>
          <w:pgMar w:header="0" w:footer="955" w:top="1160" w:bottom="1140" w:left="425" w:right="566"/>
          <w:pgNumType w:start="1"/>
        </w:sectPr>
      </w:pPr>
    </w:p>
    <w:p>
      <w:pPr>
        <w:pStyle w:val="Heading2"/>
        <w:spacing w:before="78"/>
        <w:ind w:left="140" w:right="3"/>
        <w:jc w:val="center"/>
      </w:pPr>
      <w:r>
        <w:rPr/>
        <w:t>University</w:t>
      </w:r>
      <w:r>
        <w:rPr>
          <w:spacing w:val="-5"/>
        </w:rPr>
        <w:t> </w:t>
      </w:r>
      <w:r>
        <w:rPr/>
        <w:t>Hospital</w:t>
      </w:r>
      <w:r>
        <w:rPr>
          <w:spacing w:val="-1"/>
        </w:rPr>
        <w:t> </w:t>
      </w:r>
      <w:r>
        <w:rPr/>
        <w:t>of</w:t>
      </w:r>
      <w:r>
        <w:rPr>
          <w:spacing w:val="-1"/>
        </w:rPr>
        <w:t> </w:t>
      </w:r>
      <w:r>
        <w:rPr/>
        <w:t>South</w:t>
      </w:r>
      <w:r>
        <w:rPr>
          <w:spacing w:val="-1"/>
        </w:rPr>
        <w:t> </w:t>
      </w:r>
      <w:r>
        <w:rPr/>
        <w:t>Manchester</w:t>
      </w:r>
      <w:r>
        <w:rPr>
          <w:spacing w:val="-2"/>
        </w:rPr>
        <w:t> </w:t>
      </w:r>
      <w:r>
        <w:rPr/>
        <w:t>NHS</w:t>
      </w:r>
      <w:r>
        <w:rPr>
          <w:spacing w:val="-1"/>
        </w:rPr>
        <w:t> </w:t>
      </w:r>
      <w:r>
        <w:rPr/>
        <w:t>Foundation </w:t>
      </w:r>
      <w:r>
        <w:rPr>
          <w:spacing w:val="-2"/>
        </w:rPr>
        <w:t>Trust</w:t>
      </w:r>
    </w:p>
    <w:p>
      <w:pPr>
        <w:pStyle w:val="BodyText"/>
        <w:spacing w:before="146"/>
        <w:rPr>
          <w:rFonts w:ascii="Arial"/>
          <w:b/>
          <w:sz w:val="20"/>
        </w:rPr>
      </w:pPr>
      <w:r>
        <w:rPr>
          <w:rFonts w:ascii="Arial"/>
          <w:b/>
          <w:sz w:val="20"/>
        </w:rPr>
        <mc:AlternateContent>
          <mc:Choice Requires="wps">
            <w:drawing>
              <wp:anchor distT="0" distB="0" distL="0" distR="0" allowOverlap="1" layoutInCell="1" locked="0" behindDoc="1" simplePos="0" relativeHeight="487587840">
                <wp:simplePos x="0" y="0"/>
                <wp:positionH relativeFrom="page">
                  <wp:posOffset>2085085</wp:posOffset>
                </wp:positionH>
                <wp:positionV relativeFrom="paragraph">
                  <wp:posOffset>257570</wp:posOffset>
                </wp:positionV>
                <wp:extent cx="3782060" cy="464820"/>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3782060" cy="464820"/>
                        </a:xfrm>
                        <a:prstGeom prst="rect">
                          <a:avLst/>
                        </a:prstGeom>
                        <a:solidFill>
                          <a:srgbClr val="D9D9D9"/>
                        </a:solidFill>
                        <a:ln w="6096">
                          <a:solidFill>
                            <a:srgbClr val="000000"/>
                          </a:solidFill>
                          <a:prstDash val="solid"/>
                        </a:ln>
                      </wps:spPr>
                      <wps:txbx>
                        <w:txbxContent>
                          <w:p>
                            <w:pPr>
                              <w:spacing w:before="195"/>
                              <w:ind w:left="0" w:right="2" w:firstLine="0"/>
                              <w:jc w:val="center"/>
                              <w:rPr>
                                <w:rFonts w:ascii="Arial"/>
                                <w:b/>
                                <w:color w:val="000000"/>
                                <w:sz w:val="28"/>
                              </w:rPr>
                            </w:pPr>
                            <w:r>
                              <w:rPr>
                                <w:rFonts w:ascii="Arial"/>
                                <w:b/>
                                <w:color w:val="000000"/>
                                <w:sz w:val="28"/>
                              </w:rPr>
                              <w:t>VERSION</w:t>
                            </w:r>
                            <w:r>
                              <w:rPr>
                                <w:rFonts w:ascii="Arial"/>
                                <w:b/>
                                <w:color w:val="000000"/>
                                <w:spacing w:val="-9"/>
                                <w:sz w:val="28"/>
                              </w:rPr>
                              <w:t> </w:t>
                            </w:r>
                            <w:r>
                              <w:rPr>
                                <w:rFonts w:ascii="Arial"/>
                                <w:b/>
                                <w:color w:val="000000"/>
                                <w:sz w:val="28"/>
                              </w:rPr>
                              <w:t>CONTROL</w:t>
                            </w:r>
                            <w:r>
                              <w:rPr>
                                <w:rFonts w:ascii="Arial"/>
                                <w:b/>
                                <w:color w:val="000000"/>
                                <w:spacing w:val="-7"/>
                                <w:sz w:val="28"/>
                              </w:rPr>
                              <w:t> </w:t>
                            </w:r>
                            <w:r>
                              <w:rPr>
                                <w:rFonts w:ascii="Arial"/>
                                <w:b/>
                                <w:color w:val="000000"/>
                                <w:spacing w:val="-2"/>
                                <w:sz w:val="28"/>
                              </w:rPr>
                              <w:t>SCHEDULE</w:t>
                            </w:r>
                          </w:p>
                        </w:txbxContent>
                      </wps:txbx>
                      <wps:bodyPr wrap="square" lIns="0" tIns="0" rIns="0" bIns="0" rtlCol="0">
                        <a:noAutofit/>
                      </wps:bodyPr>
                    </wps:wsp>
                  </a:graphicData>
                </a:graphic>
              </wp:anchor>
            </w:drawing>
          </mc:Choice>
          <mc:Fallback>
            <w:pict>
              <v:shape style="position:absolute;margin-left:164.179993pt;margin-top:20.281172pt;width:297.8pt;height:36.6pt;mso-position-horizontal-relative:page;mso-position-vertical-relative:paragraph;z-index:-15728640;mso-wrap-distance-left:0;mso-wrap-distance-right:0" type="#_x0000_t202" id="docshape3" filled="true" fillcolor="#d9d9d9" stroked="true" strokeweight=".48001pt" strokecolor="#000000">
                <v:textbox inset="0,0,0,0">
                  <w:txbxContent>
                    <w:p>
                      <w:pPr>
                        <w:spacing w:before="195"/>
                        <w:ind w:left="0" w:right="2" w:firstLine="0"/>
                        <w:jc w:val="center"/>
                        <w:rPr>
                          <w:rFonts w:ascii="Arial"/>
                          <w:b/>
                          <w:color w:val="000000"/>
                          <w:sz w:val="28"/>
                        </w:rPr>
                      </w:pPr>
                      <w:r>
                        <w:rPr>
                          <w:rFonts w:ascii="Arial"/>
                          <w:b/>
                          <w:color w:val="000000"/>
                          <w:sz w:val="28"/>
                        </w:rPr>
                        <w:t>VERSION</w:t>
                      </w:r>
                      <w:r>
                        <w:rPr>
                          <w:rFonts w:ascii="Arial"/>
                          <w:b/>
                          <w:color w:val="000000"/>
                          <w:spacing w:val="-9"/>
                          <w:sz w:val="28"/>
                        </w:rPr>
                        <w:t> </w:t>
                      </w:r>
                      <w:r>
                        <w:rPr>
                          <w:rFonts w:ascii="Arial"/>
                          <w:b/>
                          <w:color w:val="000000"/>
                          <w:sz w:val="28"/>
                        </w:rPr>
                        <w:t>CONTROL</w:t>
                      </w:r>
                      <w:r>
                        <w:rPr>
                          <w:rFonts w:ascii="Arial"/>
                          <w:b/>
                          <w:color w:val="000000"/>
                          <w:spacing w:val="-7"/>
                          <w:sz w:val="28"/>
                        </w:rPr>
                        <w:t> </w:t>
                      </w:r>
                      <w:r>
                        <w:rPr>
                          <w:rFonts w:ascii="Arial"/>
                          <w:b/>
                          <w:color w:val="000000"/>
                          <w:spacing w:val="-2"/>
                          <w:sz w:val="28"/>
                        </w:rPr>
                        <w:t>SCHEDULE</w:t>
                      </w:r>
                    </w:p>
                  </w:txbxContent>
                </v:textbox>
                <v:fill type="solid"/>
                <v:stroke dashstyle="solid"/>
                <w10:wrap type="topAndBottom"/>
              </v:shape>
            </w:pict>
          </mc:Fallback>
        </mc:AlternateContent>
      </w:r>
    </w:p>
    <w:p>
      <w:pPr>
        <w:pStyle w:val="BodyText"/>
        <w:rPr>
          <w:rFonts w:ascii="Arial"/>
          <w:b/>
          <w:sz w:val="20"/>
        </w:rPr>
      </w:pPr>
    </w:p>
    <w:p>
      <w:pPr>
        <w:pStyle w:val="BodyText"/>
        <w:spacing w:before="60" w:after="1"/>
        <w:rPr>
          <w:rFonts w:ascii="Arial"/>
          <w:b/>
          <w:sz w:val="20"/>
        </w:rPr>
      </w:pPr>
    </w:p>
    <w:tbl>
      <w:tblPr>
        <w:tblW w:w="0" w:type="auto"/>
        <w:jc w:val="left"/>
        <w:tblInd w:w="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80"/>
        <w:gridCol w:w="1690"/>
        <w:gridCol w:w="3401"/>
        <w:gridCol w:w="2976"/>
      </w:tblGrid>
      <w:tr>
        <w:trPr>
          <w:trHeight w:val="712" w:hRule="atLeast"/>
        </w:trPr>
        <w:tc>
          <w:tcPr>
            <w:tcW w:w="1680" w:type="dxa"/>
          </w:tcPr>
          <w:p>
            <w:pPr>
              <w:pStyle w:val="TableParagraph"/>
              <w:spacing w:line="242" w:lineRule="auto" w:before="77"/>
              <w:ind w:left="398" w:right="383"/>
              <w:rPr>
                <w:rFonts w:ascii="Arial"/>
                <w:b/>
                <w:sz w:val="24"/>
              </w:rPr>
            </w:pPr>
            <w:r>
              <w:rPr>
                <w:rFonts w:ascii="Arial"/>
                <w:b/>
                <w:spacing w:val="-2"/>
                <w:sz w:val="24"/>
              </w:rPr>
              <w:t>Version number</w:t>
            </w:r>
          </w:p>
        </w:tc>
        <w:tc>
          <w:tcPr>
            <w:tcW w:w="1690" w:type="dxa"/>
          </w:tcPr>
          <w:p>
            <w:pPr>
              <w:pStyle w:val="TableParagraph"/>
              <w:spacing w:before="77"/>
              <w:ind w:left="5"/>
              <w:jc w:val="center"/>
              <w:rPr>
                <w:rFonts w:ascii="Arial"/>
                <w:b/>
                <w:sz w:val="24"/>
              </w:rPr>
            </w:pPr>
            <w:r>
              <w:rPr>
                <w:rFonts w:ascii="Arial"/>
                <w:b/>
                <w:sz w:val="24"/>
              </w:rPr>
              <w:t>Issue</w:t>
            </w:r>
            <w:r>
              <w:rPr>
                <w:rFonts w:ascii="Arial"/>
                <w:b/>
                <w:spacing w:val="2"/>
                <w:sz w:val="24"/>
              </w:rPr>
              <w:t> </w:t>
            </w:r>
            <w:r>
              <w:rPr>
                <w:rFonts w:ascii="Arial"/>
                <w:b/>
                <w:spacing w:val="-4"/>
                <w:sz w:val="24"/>
              </w:rPr>
              <w:t>Date</w:t>
            </w:r>
          </w:p>
        </w:tc>
        <w:tc>
          <w:tcPr>
            <w:tcW w:w="3401" w:type="dxa"/>
          </w:tcPr>
          <w:p>
            <w:pPr>
              <w:pStyle w:val="TableParagraph"/>
              <w:spacing w:line="242" w:lineRule="auto" w:before="77"/>
              <w:ind w:left="1394" w:hanging="1095"/>
              <w:rPr>
                <w:rFonts w:ascii="Arial"/>
                <w:b/>
                <w:sz w:val="24"/>
              </w:rPr>
            </w:pPr>
            <w:r>
              <w:rPr>
                <w:rFonts w:ascii="Arial"/>
                <w:b/>
                <w:sz w:val="24"/>
              </w:rPr>
              <w:t>Revisions</w:t>
            </w:r>
            <w:r>
              <w:rPr>
                <w:rFonts w:ascii="Arial"/>
                <w:b/>
                <w:spacing w:val="-17"/>
                <w:sz w:val="24"/>
              </w:rPr>
              <w:t> </w:t>
            </w:r>
            <w:r>
              <w:rPr>
                <w:rFonts w:ascii="Arial"/>
                <w:b/>
                <w:sz w:val="24"/>
              </w:rPr>
              <w:t>from</w:t>
            </w:r>
            <w:r>
              <w:rPr>
                <w:rFonts w:ascii="Arial"/>
                <w:b/>
                <w:spacing w:val="-17"/>
                <w:sz w:val="24"/>
              </w:rPr>
              <w:t> </w:t>
            </w:r>
            <w:r>
              <w:rPr>
                <w:rFonts w:ascii="Arial"/>
                <w:b/>
                <w:sz w:val="24"/>
              </w:rPr>
              <w:t>previous </w:t>
            </w:r>
            <w:r>
              <w:rPr>
                <w:rFonts w:ascii="Arial"/>
                <w:b/>
                <w:spacing w:val="-2"/>
                <w:sz w:val="24"/>
              </w:rPr>
              <w:t>issue</w:t>
            </w:r>
          </w:p>
        </w:tc>
        <w:tc>
          <w:tcPr>
            <w:tcW w:w="2976" w:type="dxa"/>
          </w:tcPr>
          <w:p>
            <w:pPr>
              <w:pStyle w:val="TableParagraph"/>
              <w:spacing w:line="242" w:lineRule="auto" w:before="77"/>
              <w:ind w:left="867" w:hanging="493"/>
              <w:rPr>
                <w:rFonts w:ascii="Arial"/>
                <w:b/>
                <w:sz w:val="24"/>
              </w:rPr>
            </w:pPr>
            <w:r>
              <w:rPr>
                <w:rFonts w:ascii="Arial"/>
                <w:b/>
                <w:sz w:val="24"/>
              </w:rPr>
              <w:t>Date</w:t>
            </w:r>
            <w:r>
              <w:rPr>
                <w:rFonts w:ascii="Arial"/>
                <w:b/>
                <w:spacing w:val="-13"/>
                <w:sz w:val="24"/>
              </w:rPr>
              <w:t> </w:t>
            </w:r>
            <w:r>
              <w:rPr>
                <w:rFonts w:ascii="Arial"/>
                <w:b/>
                <w:sz w:val="24"/>
              </w:rPr>
              <w:t>of</w:t>
            </w:r>
            <w:r>
              <w:rPr>
                <w:rFonts w:ascii="Arial"/>
                <w:b/>
                <w:spacing w:val="-13"/>
                <w:sz w:val="24"/>
              </w:rPr>
              <w:t> </w:t>
            </w:r>
            <w:r>
              <w:rPr>
                <w:rFonts w:ascii="Arial"/>
                <w:b/>
                <w:sz w:val="24"/>
              </w:rPr>
              <w:t>approval</w:t>
            </w:r>
            <w:r>
              <w:rPr>
                <w:rFonts w:ascii="Arial"/>
                <w:b/>
                <w:spacing w:val="-13"/>
                <w:sz w:val="24"/>
              </w:rPr>
              <w:t> </w:t>
            </w:r>
            <w:r>
              <w:rPr>
                <w:rFonts w:ascii="Arial"/>
                <w:b/>
                <w:sz w:val="24"/>
              </w:rPr>
              <w:t>by </w:t>
            </w:r>
            <w:r>
              <w:rPr>
                <w:rFonts w:ascii="Arial"/>
                <w:b/>
                <w:spacing w:val="-2"/>
                <w:sz w:val="24"/>
              </w:rPr>
              <w:t>Committee</w:t>
            </w:r>
          </w:p>
        </w:tc>
      </w:tr>
      <w:tr>
        <w:trPr>
          <w:trHeight w:val="402" w:hRule="atLeast"/>
        </w:trPr>
        <w:tc>
          <w:tcPr>
            <w:tcW w:w="1680" w:type="dxa"/>
          </w:tcPr>
          <w:p>
            <w:pPr>
              <w:pStyle w:val="TableParagraph"/>
              <w:spacing w:before="78"/>
              <w:ind w:left="6"/>
              <w:jc w:val="center"/>
              <w:rPr>
                <w:sz w:val="20"/>
              </w:rPr>
            </w:pPr>
            <w:r>
              <w:rPr>
                <w:spacing w:val="-5"/>
                <w:sz w:val="20"/>
              </w:rPr>
              <w:t>1.0</w:t>
            </w:r>
          </w:p>
        </w:tc>
        <w:tc>
          <w:tcPr>
            <w:tcW w:w="1690" w:type="dxa"/>
          </w:tcPr>
          <w:p>
            <w:pPr>
              <w:pStyle w:val="TableParagraph"/>
              <w:spacing w:before="78"/>
              <w:ind w:left="5" w:right="4"/>
              <w:jc w:val="center"/>
              <w:rPr>
                <w:sz w:val="20"/>
              </w:rPr>
            </w:pPr>
            <w:r>
              <w:rPr>
                <w:sz w:val="20"/>
              </w:rPr>
              <w:t>March</w:t>
            </w:r>
            <w:r>
              <w:rPr>
                <w:spacing w:val="-8"/>
                <w:sz w:val="20"/>
              </w:rPr>
              <w:t> </w:t>
            </w:r>
            <w:r>
              <w:rPr>
                <w:spacing w:val="-4"/>
                <w:sz w:val="20"/>
              </w:rPr>
              <w:t>2010</w:t>
            </w:r>
          </w:p>
        </w:tc>
        <w:tc>
          <w:tcPr>
            <w:tcW w:w="3401" w:type="dxa"/>
          </w:tcPr>
          <w:p>
            <w:pPr>
              <w:pStyle w:val="TableParagraph"/>
              <w:spacing w:before="81"/>
              <w:ind w:left="107"/>
              <w:rPr>
                <w:sz w:val="20"/>
              </w:rPr>
            </w:pPr>
            <w:r>
              <w:rPr>
                <w:position w:val="-4"/>
              </w:rPr>
              <w:drawing>
                <wp:inline distT="0" distB="0" distL="0" distR="0">
                  <wp:extent cx="115824" cy="155448"/>
                  <wp:effectExtent l="0" t="0" r="0" b="0"/>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80"/>
                <w:sz w:val="20"/>
              </w:rPr>
              <w:t> </w:t>
            </w:r>
            <w:r>
              <w:rPr>
                <w:sz w:val="20"/>
              </w:rPr>
              <w:t>New Policy</w:t>
            </w:r>
          </w:p>
        </w:tc>
        <w:tc>
          <w:tcPr>
            <w:tcW w:w="2976" w:type="dxa"/>
          </w:tcPr>
          <w:p>
            <w:pPr>
              <w:pStyle w:val="TableParagraph"/>
              <w:spacing w:before="78"/>
              <w:ind w:left="108"/>
              <w:rPr>
                <w:sz w:val="20"/>
              </w:rPr>
            </w:pPr>
            <w:r>
              <w:rPr>
                <w:sz w:val="20"/>
              </w:rPr>
              <w:t>January</w:t>
            </w:r>
            <w:r>
              <w:rPr>
                <w:spacing w:val="-8"/>
                <w:sz w:val="20"/>
              </w:rPr>
              <w:t> </w:t>
            </w:r>
            <w:r>
              <w:rPr>
                <w:sz w:val="20"/>
              </w:rPr>
              <w:t>2010</w:t>
            </w:r>
            <w:r>
              <w:rPr>
                <w:spacing w:val="-7"/>
                <w:sz w:val="20"/>
              </w:rPr>
              <w:t> </w:t>
            </w:r>
            <w:r>
              <w:rPr>
                <w:spacing w:val="-4"/>
                <w:sz w:val="20"/>
              </w:rPr>
              <w:t>HCGC</w:t>
            </w:r>
          </w:p>
        </w:tc>
      </w:tr>
      <w:tr>
        <w:trPr>
          <w:trHeight w:val="2196" w:hRule="atLeast"/>
        </w:trPr>
        <w:tc>
          <w:tcPr>
            <w:tcW w:w="1680" w:type="dxa"/>
          </w:tcPr>
          <w:p>
            <w:pPr>
              <w:pStyle w:val="TableParagraph"/>
              <w:spacing w:before="57"/>
              <w:ind w:left="6"/>
              <w:jc w:val="center"/>
              <w:rPr>
                <w:sz w:val="20"/>
              </w:rPr>
            </w:pPr>
            <w:r>
              <w:rPr>
                <w:spacing w:val="-5"/>
                <w:sz w:val="20"/>
              </w:rPr>
              <w:t>2.0</w:t>
            </w:r>
          </w:p>
        </w:tc>
        <w:tc>
          <w:tcPr>
            <w:tcW w:w="1690" w:type="dxa"/>
          </w:tcPr>
          <w:p>
            <w:pPr>
              <w:pStyle w:val="TableParagraph"/>
              <w:spacing w:before="57"/>
              <w:ind w:left="5" w:right="1"/>
              <w:jc w:val="center"/>
              <w:rPr>
                <w:sz w:val="20"/>
              </w:rPr>
            </w:pPr>
            <w:r>
              <w:rPr>
                <w:sz w:val="20"/>
              </w:rPr>
              <w:t>Sept</w:t>
            </w:r>
            <w:r>
              <w:rPr>
                <w:spacing w:val="-7"/>
                <w:sz w:val="20"/>
              </w:rPr>
              <w:t> </w:t>
            </w:r>
            <w:r>
              <w:rPr>
                <w:spacing w:val="-5"/>
                <w:sz w:val="20"/>
              </w:rPr>
              <w:t>12</w:t>
            </w:r>
          </w:p>
        </w:tc>
        <w:tc>
          <w:tcPr>
            <w:tcW w:w="3401" w:type="dxa"/>
          </w:tcPr>
          <w:p>
            <w:pPr>
              <w:pStyle w:val="TableParagraph"/>
              <w:spacing w:line="237" w:lineRule="auto" w:before="61"/>
              <w:ind w:left="467" w:right="111" w:hanging="360"/>
              <w:rPr>
                <w:sz w:val="20"/>
              </w:rPr>
            </w:pPr>
            <w:r>
              <w:rPr>
                <w:position w:val="-4"/>
              </w:rPr>
              <w:drawing>
                <wp:inline distT="0" distB="0" distL="0" distR="0">
                  <wp:extent cx="115824" cy="155448"/>
                  <wp:effectExtent l="0" t="0" r="0" b="0"/>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hAnsi="Times New Roman"/>
                <w:spacing w:val="80"/>
                <w:sz w:val="20"/>
              </w:rPr>
              <w:t> </w:t>
            </w:r>
            <w:r>
              <w:rPr>
                <w:sz w:val="20"/>
              </w:rPr>
              <w:t>Amendments</w:t>
            </w:r>
            <w:r>
              <w:rPr>
                <w:spacing w:val="28"/>
                <w:sz w:val="20"/>
              </w:rPr>
              <w:t> </w:t>
            </w:r>
            <w:r>
              <w:rPr>
                <w:sz w:val="20"/>
              </w:rPr>
              <w:t>to</w:t>
            </w:r>
            <w:r>
              <w:rPr>
                <w:spacing w:val="29"/>
                <w:sz w:val="20"/>
              </w:rPr>
              <w:t> </w:t>
            </w:r>
            <w:r>
              <w:rPr>
                <w:sz w:val="20"/>
              </w:rPr>
              <w:t>Section</w:t>
            </w:r>
            <w:r>
              <w:rPr>
                <w:spacing w:val="29"/>
                <w:sz w:val="20"/>
              </w:rPr>
              <w:t> </w:t>
            </w:r>
            <w:r>
              <w:rPr>
                <w:sz w:val="20"/>
              </w:rPr>
              <w:t>3</w:t>
            </w:r>
            <w:r>
              <w:rPr>
                <w:spacing w:val="29"/>
                <w:sz w:val="20"/>
              </w:rPr>
              <w:t> </w:t>
            </w:r>
            <w:r>
              <w:rPr>
                <w:sz w:val="20"/>
              </w:rPr>
              <w:t>and 4 – Audit</w:t>
            </w:r>
          </w:p>
          <w:p>
            <w:pPr>
              <w:pStyle w:val="TableParagraph"/>
              <w:spacing w:line="235" w:lineRule="auto" w:before="68"/>
              <w:ind w:left="467" w:hanging="360"/>
              <w:rPr>
                <w:sz w:val="20"/>
              </w:rPr>
            </w:pPr>
            <w:r>
              <w:rPr>
                <w:position w:val="-4"/>
              </w:rPr>
              <w:drawing>
                <wp:inline distT="0" distB="0" distL="0" distR="0">
                  <wp:extent cx="115824" cy="155448"/>
                  <wp:effectExtent l="0" t="0" r="0" b="0"/>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80"/>
                <w:sz w:val="20"/>
              </w:rPr>
              <w:t> </w:t>
            </w:r>
            <w:r>
              <w:rPr>
                <w:sz w:val="20"/>
              </w:rPr>
              <w:t>Saturations</w:t>
            </w:r>
            <w:r>
              <w:rPr>
                <w:spacing w:val="29"/>
                <w:sz w:val="20"/>
              </w:rPr>
              <w:t> </w:t>
            </w:r>
            <w:r>
              <w:rPr>
                <w:sz w:val="20"/>
              </w:rPr>
              <w:t>of</w:t>
            </w:r>
            <w:r>
              <w:rPr>
                <w:spacing w:val="30"/>
                <w:sz w:val="20"/>
              </w:rPr>
              <w:t> </w:t>
            </w:r>
            <w:r>
              <w:rPr>
                <w:sz w:val="20"/>
              </w:rPr>
              <w:t>96%</w:t>
            </w:r>
            <w:r>
              <w:rPr>
                <w:spacing w:val="29"/>
                <w:sz w:val="20"/>
              </w:rPr>
              <w:t> </w:t>
            </w:r>
            <w:r>
              <w:rPr>
                <w:sz w:val="20"/>
              </w:rPr>
              <w:t>and</w:t>
            </w:r>
            <w:r>
              <w:rPr>
                <w:spacing w:val="30"/>
                <w:sz w:val="20"/>
              </w:rPr>
              <w:t> </w:t>
            </w:r>
            <w:r>
              <w:rPr>
                <w:sz w:val="20"/>
              </w:rPr>
              <w:t>above score 0 on the MEWS</w:t>
            </w:r>
          </w:p>
          <w:p>
            <w:pPr>
              <w:pStyle w:val="TableParagraph"/>
              <w:spacing w:line="235" w:lineRule="auto" w:before="67"/>
              <w:ind w:left="467" w:right="111" w:hanging="360"/>
              <w:rPr>
                <w:sz w:val="20"/>
              </w:rPr>
            </w:pPr>
            <w:r>
              <w:rPr>
                <w:position w:val="-4"/>
              </w:rPr>
              <w:drawing>
                <wp:inline distT="0" distB="0" distL="0" distR="0">
                  <wp:extent cx="115824" cy="155448"/>
                  <wp:effectExtent l="0" t="0" r="0" b="0"/>
                  <wp:docPr id="9" name="Image 9"/>
                  <wp:cNvGraphicFramePr>
                    <a:graphicFrameLocks/>
                  </wp:cNvGraphicFramePr>
                  <a:graphic>
                    <a:graphicData uri="http://schemas.openxmlformats.org/drawingml/2006/picture">
                      <pic:pic>
                        <pic:nvPicPr>
                          <pic:cNvPr id="9" name="Image 9"/>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80"/>
                <w:sz w:val="20"/>
              </w:rPr>
              <w:t> </w:t>
            </w:r>
            <w:r>
              <w:rPr>
                <w:sz w:val="20"/>
              </w:rPr>
              <w:t>Appendix A showing new oxygen</w:t>
            </w:r>
            <w:r>
              <w:rPr>
                <w:spacing w:val="-14"/>
                <w:sz w:val="20"/>
              </w:rPr>
              <w:t> </w:t>
            </w:r>
            <w:r>
              <w:rPr>
                <w:sz w:val="20"/>
              </w:rPr>
              <w:t>saturation</w:t>
            </w:r>
            <w:r>
              <w:rPr>
                <w:spacing w:val="-14"/>
                <w:sz w:val="20"/>
              </w:rPr>
              <w:t> </w:t>
            </w:r>
            <w:r>
              <w:rPr>
                <w:sz w:val="20"/>
              </w:rPr>
              <w:t>parameters</w:t>
            </w:r>
          </w:p>
          <w:p>
            <w:pPr>
              <w:pStyle w:val="TableParagraph"/>
              <w:spacing w:line="237" w:lineRule="auto" w:before="65"/>
              <w:ind w:left="467" w:right="149" w:hanging="360"/>
              <w:rPr>
                <w:sz w:val="20"/>
              </w:rPr>
            </w:pPr>
            <w:r>
              <w:rPr>
                <w:position w:val="-4"/>
              </w:rPr>
              <w:drawing>
                <wp:inline distT="0" distB="0" distL="0" distR="0">
                  <wp:extent cx="115824" cy="155448"/>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80"/>
                <w:sz w:val="20"/>
              </w:rPr>
              <w:t> </w:t>
            </w:r>
            <w:r>
              <w:rPr>
                <w:sz w:val="20"/>
              </w:rPr>
              <w:t>Inclusion</w:t>
            </w:r>
            <w:r>
              <w:rPr>
                <w:spacing w:val="-8"/>
                <w:sz w:val="20"/>
              </w:rPr>
              <w:t> </w:t>
            </w:r>
            <w:r>
              <w:rPr>
                <w:sz w:val="20"/>
              </w:rPr>
              <w:t>of</w:t>
            </w:r>
            <w:r>
              <w:rPr>
                <w:spacing w:val="-5"/>
                <w:sz w:val="20"/>
              </w:rPr>
              <w:t> </w:t>
            </w:r>
            <w:r>
              <w:rPr>
                <w:sz w:val="20"/>
              </w:rPr>
              <w:t>audit</w:t>
            </w:r>
            <w:r>
              <w:rPr>
                <w:spacing w:val="-5"/>
                <w:sz w:val="20"/>
              </w:rPr>
              <w:t> </w:t>
            </w:r>
            <w:r>
              <w:rPr>
                <w:sz w:val="20"/>
              </w:rPr>
              <w:t>tool</w:t>
            </w:r>
            <w:r>
              <w:rPr>
                <w:spacing w:val="-8"/>
                <w:sz w:val="20"/>
              </w:rPr>
              <w:t> </w:t>
            </w:r>
            <w:r>
              <w:rPr>
                <w:sz w:val="20"/>
              </w:rPr>
              <w:t>and criteria Appendix D</w:t>
            </w:r>
          </w:p>
        </w:tc>
        <w:tc>
          <w:tcPr>
            <w:tcW w:w="2976" w:type="dxa"/>
          </w:tcPr>
          <w:p>
            <w:pPr>
              <w:pStyle w:val="TableParagraph"/>
              <w:spacing w:before="57"/>
              <w:ind w:left="108"/>
              <w:rPr>
                <w:sz w:val="20"/>
              </w:rPr>
            </w:pPr>
            <w:r>
              <w:rPr>
                <w:sz w:val="20"/>
              </w:rPr>
              <w:t>19</w:t>
            </w:r>
            <w:r>
              <w:rPr>
                <w:spacing w:val="-3"/>
                <w:sz w:val="20"/>
              </w:rPr>
              <w:t> </w:t>
            </w:r>
            <w:r>
              <w:rPr>
                <w:sz w:val="20"/>
              </w:rPr>
              <w:t>July</w:t>
            </w:r>
            <w:r>
              <w:rPr>
                <w:spacing w:val="-4"/>
                <w:sz w:val="20"/>
              </w:rPr>
              <w:t> 2012</w:t>
            </w:r>
          </w:p>
        </w:tc>
      </w:tr>
      <w:tr>
        <w:trPr>
          <w:trHeight w:val="436" w:hRule="atLeast"/>
        </w:trPr>
        <w:tc>
          <w:tcPr>
            <w:tcW w:w="1680" w:type="dxa"/>
          </w:tcPr>
          <w:p>
            <w:pPr>
              <w:pStyle w:val="TableParagraph"/>
              <w:rPr>
                <w:rFonts w:ascii="Times New Roman"/>
                <w:sz w:val="20"/>
              </w:rPr>
            </w:pPr>
          </w:p>
        </w:tc>
        <w:tc>
          <w:tcPr>
            <w:tcW w:w="1690" w:type="dxa"/>
          </w:tcPr>
          <w:p>
            <w:pPr>
              <w:pStyle w:val="TableParagraph"/>
              <w:rPr>
                <w:rFonts w:ascii="Times New Roman"/>
                <w:sz w:val="20"/>
              </w:rPr>
            </w:pPr>
          </w:p>
        </w:tc>
        <w:tc>
          <w:tcPr>
            <w:tcW w:w="3401" w:type="dxa"/>
          </w:tcPr>
          <w:p>
            <w:pPr>
              <w:pStyle w:val="TableParagraph"/>
              <w:rPr>
                <w:rFonts w:ascii="Times New Roman"/>
                <w:sz w:val="20"/>
              </w:rPr>
            </w:pPr>
          </w:p>
        </w:tc>
        <w:tc>
          <w:tcPr>
            <w:tcW w:w="2976" w:type="dxa"/>
          </w:tcPr>
          <w:p>
            <w:pPr>
              <w:pStyle w:val="TableParagraph"/>
              <w:rPr>
                <w:rFonts w:ascii="Times New Roman"/>
                <w:sz w:val="20"/>
              </w:rPr>
            </w:pPr>
          </w:p>
        </w:tc>
      </w:tr>
    </w:tbl>
    <w:p>
      <w:pPr>
        <w:spacing w:before="198"/>
        <w:ind w:left="140" w:right="0" w:firstLine="0"/>
        <w:jc w:val="center"/>
        <w:rPr>
          <w:rFonts w:ascii="Arial"/>
          <w:b/>
          <w:sz w:val="22"/>
        </w:rPr>
      </w:pPr>
      <w:r>
        <w:rPr>
          <w:rFonts w:ascii="Arial"/>
          <w:b/>
          <w:sz w:val="22"/>
        </w:rPr>
        <w:t>DOCUMENT</w:t>
      </w:r>
      <w:r>
        <w:rPr>
          <w:rFonts w:ascii="Arial"/>
          <w:b/>
          <w:spacing w:val="-10"/>
          <w:sz w:val="22"/>
        </w:rPr>
        <w:t> </w:t>
      </w:r>
      <w:r>
        <w:rPr>
          <w:rFonts w:ascii="Arial"/>
          <w:b/>
          <w:spacing w:val="-2"/>
          <w:sz w:val="22"/>
        </w:rPr>
        <w:t>CONTROL</w:t>
      </w:r>
    </w:p>
    <w:p>
      <w:pPr>
        <w:pStyle w:val="BodyText"/>
        <w:spacing w:before="7"/>
        <w:rPr>
          <w:rFonts w:ascii="Arial"/>
          <w:b/>
          <w:sz w:val="17"/>
        </w:rPr>
      </w:pPr>
    </w:p>
    <w:tbl>
      <w:tblPr>
        <w:tblW w:w="0" w:type="auto"/>
        <w:jc w:val="left"/>
        <w:tblInd w:w="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1"/>
        <w:gridCol w:w="7201"/>
      </w:tblGrid>
      <w:tr>
        <w:trPr>
          <w:trHeight w:val="460" w:hRule="atLeast"/>
        </w:trPr>
        <w:tc>
          <w:tcPr>
            <w:tcW w:w="2701" w:type="dxa"/>
          </w:tcPr>
          <w:p>
            <w:pPr>
              <w:pStyle w:val="TableParagraph"/>
              <w:spacing w:line="230" w:lineRule="exact"/>
              <w:ind w:left="108"/>
              <w:rPr>
                <w:sz w:val="20"/>
              </w:rPr>
            </w:pPr>
            <w:r>
              <w:rPr>
                <w:sz w:val="20"/>
              </w:rPr>
              <w:t>Summary</w:t>
            </w:r>
            <w:r>
              <w:rPr>
                <w:spacing w:val="80"/>
                <w:sz w:val="20"/>
              </w:rPr>
              <w:t> </w:t>
            </w:r>
            <w:r>
              <w:rPr>
                <w:sz w:val="20"/>
              </w:rPr>
              <w:t>of</w:t>
            </w:r>
            <w:r>
              <w:rPr>
                <w:spacing w:val="80"/>
                <w:sz w:val="20"/>
              </w:rPr>
              <w:t> </w:t>
            </w:r>
            <w:r>
              <w:rPr>
                <w:sz w:val="20"/>
              </w:rPr>
              <w:t>consultation </w:t>
            </w:r>
            <w:r>
              <w:rPr>
                <w:spacing w:val="-2"/>
                <w:sz w:val="20"/>
              </w:rPr>
              <w:t>process</w:t>
            </w:r>
          </w:p>
        </w:tc>
        <w:tc>
          <w:tcPr>
            <w:tcW w:w="7201" w:type="dxa"/>
          </w:tcPr>
          <w:p>
            <w:pPr>
              <w:pStyle w:val="TableParagraph"/>
              <w:spacing w:line="227" w:lineRule="exact"/>
              <w:ind w:left="107"/>
              <w:rPr>
                <w:sz w:val="20"/>
              </w:rPr>
            </w:pPr>
            <w:r>
              <w:rPr>
                <w:sz w:val="20"/>
              </w:rPr>
              <w:t>Expert</w:t>
            </w:r>
            <w:r>
              <w:rPr>
                <w:spacing w:val="-10"/>
                <w:sz w:val="20"/>
              </w:rPr>
              <w:t> </w:t>
            </w:r>
            <w:r>
              <w:rPr>
                <w:sz w:val="20"/>
              </w:rPr>
              <w:t>and</w:t>
            </w:r>
            <w:r>
              <w:rPr>
                <w:spacing w:val="-8"/>
                <w:sz w:val="20"/>
              </w:rPr>
              <w:t> </w:t>
            </w:r>
            <w:r>
              <w:rPr>
                <w:sz w:val="20"/>
              </w:rPr>
              <w:t>Stakeholders</w:t>
            </w:r>
            <w:r>
              <w:rPr>
                <w:spacing w:val="-8"/>
                <w:sz w:val="20"/>
              </w:rPr>
              <w:t> </w:t>
            </w:r>
            <w:r>
              <w:rPr>
                <w:sz w:val="20"/>
              </w:rPr>
              <w:t>consulted</w:t>
            </w:r>
            <w:r>
              <w:rPr>
                <w:spacing w:val="-9"/>
                <w:sz w:val="20"/>
              </w:rPr>
              <w:t> </w:t>
            </w:r>
            <w:r>
              <w:rPr>
                <w:sz w:val="20"/>
              </w:rPr>
              <w:t>Section</w:t>
            </w:r>
            <w:r>
              <w:rPr>
                <w:spacing w:val="-8"/>
                <w:sz w:val="20"/>
              </w:rPr>
              <w:t> </w:t>
            </w:r>
            <w:r>
              <w:rPr>
                <w:sz w:val="20"/>
              </w:rPr>
              <w:t>8.0</w:t>
            </w:r>
            <w:r>
              <w:rPr>
                <w:spacing w:val="-7"/>
                <w:sz w:val="20"/>
              </w:rPr>
              <w:t> </w:t>
            </w:r>
            <w:r>
              <w:rPr>
                <w:spacing w:val="-5"/>
                <w:sz w:val="20"/>
              </w:rPr>
              <w:t>p14</w:t>
            </w:r>
          </w:p>
        </w:tc>
      </w:tr>
      <w:tr>
        <w:trPr>
          <w:trHeight w:val="2553" w:hRule="atLeast"/>
        </w:trPr>
        <w:tc>
          <w:tcPr>
            <w:tcW w:w="2701" w:type="dxa"/>
          </w:tcPr>
          <w:p>
            <w:pPr>
              <w:pStyle w:val="TableParagraph"/>
              <w:spacing w:line="227" w:lineRule="exact"/>
              <w:ind w:left="108"/>
              <w:jc w:val="both"/>
              <w:rPr>
                <w:sz w:val="20"/>
              </w:rPr>
            </w:pPr>
            <w:r>
              <w:rPr>
                <w:sz w:val="20"/>
              </w:rPr>
              <w:t>Control</w:t>
            </w:r>
            <w:r>
              <w:rPr>
                <w:spacing w:val="-9"/>
                <w:sz w:val="20"/>
              </w:rPr>
              <w:t> </w:t>
            </w:r>
            <w:r>
              <w:rPr>
                <w:spacing w:val="-2"/>
                <w:sz w:val="20"/>
              </w:rPr>
              <w:t>arrangements</w:t>
            </w:r>
          </w:p>
          <w:p>
            <w:pPr>
              <w:pStyle w:val="TableParagraph"/>
              <w:rPr>
                <w:rFonts w:ascii="Arial"/>
                <w:b/>
                <w:sz w:val="20"/>
              </w:rPr>
            </w:pPr>
          </w:p>
          <w:p>
            <w:pPr>
              <w:pStyle w:val="TableParagraph"/>
              <w:rPr>
                <w:rFonts w:ascii="Arial"/>
                <w:b/>
                <w:sz w:val="20"/>
              </w:rPr>
            </w:pPr>
          </w:p>
          <w:p>
            <w:pPr>
              <w:pStyle w:val="TableParagraph"/>
              <w:spacing w:before="229"/>
              <w:rPr>
                <w:rFonts w:ascii="Arial"/>
                <w:b/>
                <w:sz w:val="20"/>
              </w:rPr>
            </w:pPr>
          </w:p>
          <w:p>
            <w:pPr>
              <w:pStyle w:val="TableParagraph"/>
              <w:ind w:left="108" w:right="86"/>
              <w:jc w:val="both"/>
              <w:rPr>
                <w:sz w:val="20"/>
              </w:rPr>
            </w:pPr>
            <w:r>
              <w:rPr>
                <w:sz w:val="20"/>
              </w:rPr>
              <w:t>[Reviews shall generally be undertaken every 2-3 years or more frequently to take account of organisational </w:t>
            </w:r>
            <w:r>
              <w:rPr>
                <w:spacing w:val="-2"/>
                <w:sz w:val="20"/>
              </w:rPr>
              <w:t>learning]</w:t>
            </w:r>
          </w:p>
        </w:tc>
        <w:tc>
          <w:tcPr>
            <w:tcW w:w="7201" w:type="dxa"/>
          </w:tcPr>
          <w:p>
            <w:pPr>
              <w:pStyle w:val="TableParagraph"/>
              <w:spacing w:line="226" w:lineRule="exact"/>
              <w:ind w:left="107"/>
              <w:rPr>
                <w:sz w:val="20"/>
              </w:rPr>
            </w:pPr>
            <w:r>
              <w:rPr>
                <w:sz w:val="20"/>
              </w:rPr>
              <w:t>Minimum</w:t>
            </w:r>
            <w:r>
              <w:rPr>
                <w:spacing w:val="-5"/>
                <w:sz w:val="20"/>
              </w:rPr>
              <w:t> </w:t>
            </w:r>
            <w:r>
              <w:rPr>
                <w:sz w:val="20"/>
              </w:rPr>
              <w:t>requirement</w:t>
            </w:r>
            <w:r>
              <w:rPr>
                <w:spacing w:val="-9"/>
                <w:sz w:val="20"/>
              </w:rPr>
              <w:t> </w:t>
            </w:r>
            <w:r>
              <w:rPr>
                <w:sz w:val="20"/>
              </w:rPr>
              <w:t>to</w:t>
            </w:r>
            <w:r>
              <w:rPr>
                <w:spacing w:val="-9"/>
                <w:sz w:val="20"/>
              </w:rPr>
              <w:t> </w:t>
            </w:r>
            <w:r>
              <w:rPr>
                <w:sz w:val="20"/>
              </w:rPr>
              <w:t>be</w:t>
            </w:r>
            <w:r>
              <w:rPr>
                <w:spacing w:val="-7"/>
                <w:sz w:val="20"/>
              </w:rPr>
              <w:t> </w:t>
            </w:r>
            <w:r>
              <w:rPr>
                <w:spacing w:val="-2"/>
                <w:sz w:val="20"/>
              </w:rPr>
              <w:t>monitored</w:t>
            </w:r>
          </w:p>
          <w:p>
            <w:pPr>
              <w:pStyle w:val="TableParagraph"/>
              <w:ind w:left="107" w:right="4008"/>
              <w:rPr>
                <w:rFonts w:ascii="Arial"/>
                <w:i/>
                <w:sz w:val="20"/>
              </w:rPr>
            </w:pPr>
            <w:r>
              <w:rPr>
                <w:rFonts w:ascii="Arial"/>
                <w:i/>
                <w:sz w:val="20"/>
              </w:rPr>
              <w:t>6</w:t>
            </w:r>
            <w:r>
              <w:rPr>
                <w:rFonts w:ascii="Arial"/>
                <w:i/>
                <w:spacing w:val="-8"/>
                <w:sz w:val="20"/>
              </w:rPr>
              <w:t> </w:t>
            </w:r>
            <w:r>
              <w:rPr>
                <w:rFonts w:ascii="Arial"/>
                <w:i/>
                <w:sz w:val="20"/>
              </w:rPr>
              <w:t>monthly</w:t>
            </w:r>
            <w:r>
              <w:rPr>
                <w:rFonts w:ascii="Arial"/>
                <w:i/>
                <w:spacing w:val="-7"/>
                <w:sz w:val="20"/>
              </w:rPr>
              <w:t> </w:t>
            </w:r>
            <w:r>
              <w:rPr>
                <w:rFonts w:ascii="Arial"/>
                <w:i/>
                <w:sz w:val="20"/>
              </w:rPr>
              <w:t>audits</w:t>
            </w:r>
            <w:r>
              <w:rPr>
                <w:rFonts w:ascii="Arial"/>
                <w:i/>
                <w:spacing w:val="-7"/>
                <w:sz w:val="20"/>
              </w:rPr>
              <w:t> </w:t>
            </w:r>
            <w:r>
              <w:rPr>
                <w:rFonts w:ascii="Arial"/>
                <w:i/>
                <w:sz w:val="20"/>
              </w:rPr>
              <w:t>of</w:t>
            </w:r>
            <w:r>
              <w:rPr>
                <w:rFonts w:ascii="Arial"/>
                <w:i/>
                <w:spacing w:val="-8"/>
                <w:sz w:val="20"/>
              </w:rPr>
              <w:t> </w:t>
            </w:r>
            <w:r>
              <w:rPr>
                <w:rFonts w:ascii="Arial"/>
                <w:i/>
                <w:sz w:val="20"/>
              </w:rPr>
              <w:t>all</w:t>
            </w:r>
            <w:r>
              <w:rPr>
                <w:rFonts w:ascii="Arial"/>
                <w:i/>
                <w:spacing w:val="-7"/>
                <w:sz w:val="20"/>
              </w:rPr>
              <w:t> </w:t>
            </w:r>
            <w:r>
              <w:rPr>
                <w:rFonts w:ascii="Arial"/>
                <w:i/>
                <w:sz w:val="20"/>
              </w:rPr>
              <w:t>adult</w:t>
            </w:r>
            <w:r>
              <w:rPr>
                <w:rFonts w:ascii="Arial"/>
                <w:i/>
                <w:spacing w:val="-6"/>
                <w:sz w:val="20"/>
              </w:rPr>
              <w:t> </w:t>
            </w:r>
            <w:r>
              <w:rPr>
                <w:rFonts w:ascii="Arial"/>
                <w:i/>
                <w:sz w:val="20"/>
              </w:rPr>
              <w:t>wards. Audit Criteria and Tool p21</w:t>
            </w:r>
            <w:r>
              <w:rPr>
                <w:rFonts w:ascii="Arial"/>
                <w:i/>
                <w:spacing w:val="40"/>
                <w:sz w:val="20"/>
              </w:rPr>
              <w:t> </w:t>
            </w:r>
            <w:r>
              <w:rPr>
                <w:rFonts w:ascii="Arial"/>
                <w:i/>
                <w:sz w:val="20"/>
              </w:rPr>
              <w:t>Section 4 p 12</w:t>
            </w:r>
          </w:p>
          <w:p>
            <w:pPr>
              <w:pStyle w:val="TableParagraph"/>
              <w:spacing w:line="229" w:lineRule="exact"/>
              <w:ind w:left="107"/>
              <w:rPr>
                <w:rFonts w:ascii="Arial"/>
                <w:i/>
                <w:sz w:val="20"/>
              </w:rPr>
            </w:pPr>
            <w:r>
              <w:rPr>
                <w:rFonts w:ascii="Arial"/>
                <w:i/>
                <w:sz w:val="20"/>
              </w:rPr>
              <w:t>Section</w:t>
            </w:r>
            <w:r>
              <w:rPr>
                <w:rFonts w:ascii="Arial"/>
                <w:i/>
                <w:spacing w:val="-4"/>
                <w:sz w:val="20"/>
              </w:rPr>
              <w:t> </w:t>
            </w:r>
            <w:r>
              <w:rPr>
                <w:rFonts w:ascii="Arial"/>
                <w:i/>
                <w:sz w:val="20"/>
              </w:rPr>
              <w:t>5</w:t>
            </w:r>
            <w:r>
              <w:rPr>
                <w:rFonts w:ascii="Arial"/>
                <w:i/>
                <w:spacing w:val="51"/>
                <w:sz w:val="20"/>
              </w:rPr>
              <w:t> </w:t>
            </w:r>
            <w:r>
              <w:rPr>
                <w:rFonts w:ascii="Arial"/>
                <w:i/>
                <w:spacing w:val="-5"/>
                <w:sz w:val="20"/>
              </w:rPr>
              <w:t>p12</w:t>
            </w:r>
          </w:p>
          <w:p>
            <w:pPr>
              <w:pStyle w:val="TableParagraph"/>
              <w:spacing w:before="230"/>
              <w:ind w:left="107"/>
              <w:rPr>
                <w:rFonts w:ascii="Arial"/>
                <w:i/>
                <w:sz w:val="20"/>
              </w:rPr>
            </w:pPr>
            <w:r>
              <w:rPr>
                <w:rFonts w:ascii="Arial"/>
                <w:i/>
                <w:sz w:val="20"/>
              </w:rPr>
              <w:t>Frequency</w:t>
            </w:r>
            <w:r>
              <w:rPr>
                <w:rFonts w:ascii="Arial"/>
                <w:i/>
                <w:spacing w:val="-7"/>
                <w:sz w:val="20"/>
              </w:rPr>
              <w:t> </w:t>
            </w:r>
            <w:r>
              <w:rPr>
                <w:rFonts w:ascii="Arial"/>
                <w:i/>
                <w:sz w:val="20"/>
              </w:rPr>
              <w:t>of</w:t>
            </w:r>
            <w:r>
              <w:rPr>
                <w:rFonts w:ascii="Arial"/>
                <w:i/>
                <w:spacing w:val="-6"/>
                <w:sz w:val="20"/>
              </w:rPr>
              <w:t> </w:t>
            </w:r>
            <w:r>
              <w:rPr>
                <w:rFonts w:ascii="Arial"/>
                <w:i/>
                <w:spacing w:val="-2"/>
                <w:sz w:val="20"/>
              </w:rPr>
              <w:t>monitoring</w:t>
            </w:r>
          </w:p>
          <w:p>
            <w:pPr>
              <w:pStyle w:val="TableParagraph"/>
              <w:ind w:left="107" w:right="2002"/>
              <w:rPr>
                <w:sz w:val="20"/>
              </w:rPr>
            </w:pPr>
            <w:r>
              <w:rPr>
                <w:rFonts w:ascii="Arial"/>
                <w:i/>
                <w:sz w:val="20"/>
              </w:rPr>
              <w:t>Quarterly</w:t>
            </w:r>
            <w:r>
              <w:rPr>
                <w:rFonts w:ascii="Arial"/>
                <w:i/>
                <w:spacing w:val="-5"/>
                <w:sz w:val="20"/>
              </w:rPr>
              <w:t> </w:t>
            </w:r>
            <w:r>
              <w:rPr>
                <w:rFonts w:ascii="Arial"/>
                <w:i/>
                <w:sz w:val="20"/>
              </w:rPr>
              <w:t>reports</w:t>
            </w:r>
            <w:r>
              <w:rPr>
                <w:rFonts w:ascii="Arial"/>
                <w:i/>
                <w:spacing w:val="-4"/>
                <w:sz w:val="20"/>
              </w:rPr>
              <w:t> </w:t>
            </w:r>
            <w:r>
              <w:rPr>
                <w:rFonts w:ascii="Arial"/>
                <w:i/>
                <w:sz w:val="20"/>
              </w:rPr>
              <w:t>to</w:t>
            </w:r>
            <w:r>
              <w:rPr>
                <w:rFonts w:ascii="Arial"/>
                <w:i/>
                <w:spacing w:val="-6"/>
                <w:sz w:val="20"/>
              </w:rPr>
              <w:t> </w:t>
            </w:r>
            <w:r>
              <w:rPr>
                <w:rFonts w:ascii="Arial"/>
                <w:i/>
                <w:sz w:val="20"/>
              </w:rPr>
              <w:t>the</w:t>
            </w:r>
            <w:r>
              <w:rPr>
                <w:rFonts w:ascii="Arial"/>
                <w:i/>
                <w:spacing w:val="-4"/>
                <w:sz w:val="20"/>
              </w:rPr>
              <w:t> </w:t>
            </w:r>
            <w:r>
              <w:rPr>
                <w:rFonts w:ascii="Arial"/>
                <w:i/>
                <w:sz w:val="20"/>
              </w:rPr>
              <w:t>Patient</w:t>
            </w:r>
            <w:r>
              <w:rPr>
                <w:rFonts w:ascii="Arial"/>
                <w:i/>
                <w:spacing w:val="-4"/>
                <w:sz w:val="20"/>
              </w:rPr>
              <w:t> </w:t>
            </w:r>
            <w:r>
              <w:rPr>
                <w:rFonts w:ascii="Arial"/>
                <w:i/>
                <w:sz w:val="20"/>
              </w:rPr>
              <w:t>Safety</w:t>
            </w:r>
            <w:r>
              <w:rPr>
                <w:rFonts w:ascii="Arial"/>
                <w:i/>
                <w:spacing w:val="-5"/>
                <w:sz w:val="20"/>
              </w:rPr>
              <w:t> </w:t>
            </w:r>
            <w:r>
              <w:rPr>
                <w:rFonts w:ascii="Arial"/>
                <w:i/>
                <w:sz w:val="20"/>
              </w:rPr>
              <w:t>and</w:t>
            </w:r>
            <w:r>
              <w:rPr>
                <w:rFonts w:ascii="Arial"/>
                <w:i/>
                <w:spacing w:val="-6"/>
                <w:sz w:val="20"/>
              </w:rPr>
              <w:t> </w:t>
            </w:r>
            <w:r>
              <w:rPr>
                <w:rFonts w:ascii="Arial"/>
                <w:i/>
                <w:sz w:val="20"/>
              </w:rPr>
              <w:t>Quality</w:t>
            </w:r>
            <w:r>
              <w:rPr>
                <w:rFonts w:ascii="Arial"/>
                <w:i/>
                <w:spacing w:val="-5"/>
                <w:sz w:val="20"/>
              </w:rPr>
              <w:t> </w:t>
            </w:r>
            <w:r>
              <w:rPr>
                <w:rFonts w:ascii="Arial"/>
                <w:i/>
                <w:sz w:val="20"/>
              </w:rPr>
              <w:t>Board. Bi-Monthly reports to Acute Care Management Group </w:t>
            </w:r>
            <w:r>
              <w:rPr>
                <w:sz w:val="20"/>
              </w:rPr>
              <w:t>Annual Report to Health Care Governance Committee</w:t>
            </w:r>
          </w:p>
        </w:tc>
      </w:tr>
      <w:tr>
        <w:trPr>
          <w:trHeight w:val="620" w:hRule="atLeast"/>
        </w:trPr>
        <w:tc>
          <w:tcPr>
            <w:tcW w:w="2701" w:type="dxa"/>
          </w:tcPr>
          <w:p>
            <w:pPr>
              <w:pStyle w:val="TableParagraph"/>
              <w:spacing w:before="78"/>
              <w:ind w:left="108"/>
              <w:rPr>
                <w:sz w:val="20"/>
              </w:rPr>
            </w:pPr>
            <w:r>
              <w:rPr>
                <w:sz w:val="20"/>
              </w:rPr>
              <w:t>Associated</w:t>
            </w:r>
            <w:r>
              <w:rPr>
                <w:spacing w:val="80"/>
                <w:sz w:val="20"/>
              </w:rPr>
              <w:t> </w:t>
            </w:r>
            <w:r>
              <w:rPr>
                <w:sz w:val="20"/>
              </w:rPr>
              <w:t>documentation and references</w:t>
            </w:r>
          </w:p>
        </w:tc>
        <w:tc>
          <w:tcPr>
            <w:tcW w:w="7201" w:type="dxa"/>
          </w:tcPr>
          <w:p>
            <w:pPr>
              <w:pStyle w:val="TableParagraph"/>
              <w:spacing w:before="78"/>
              <w:ind w:left="107"/>
              <w:rPr>
                <w:sz w:val="20"/>
              </w:rPr>
            </w:pPr>
            <w:r>
              <w:rPr>
                <w:sz w:val="20"/>
              </w:rPr>
              <w:t>p15,</w:t>
            </w:r>
            <w:r>
              <w:rPr>
                <w:spacing w:val="-4"/>
                <w:sz w:val="20"/>
              </w:rPr>
              <w:t> </w:t>
            </w:r>
            <w:r>
              <w:rPr>
                <w:sz w:val="20"/>
              </w:rPr>
              <w:t>17</w:t>
            </w:r>
            <w:r>
              <w:rPr>
                <w:spacing w:val="-3"/>
                <w:sz w:val="20"/>
              </w:rPr>
              <w:t> </w:t>
            </w:r>
            <w:r>
              <w:rPr>
                <w:sz w:val="20"/>
              </w:rPr>
              <w:t>and</w:t>
            </w:r>
            <w:r>
              <w:rPr>
                <w:spacing w:val="-3"/>
                <w:sz w:val="20"/>
              </w:rPr>
              <w:t> </w:t>
            </w:r>
            <w:r>
              <w:rPr>
                <w:spacing w:val="-5"/>
                <w:sz w:val="20"/>
              </w:rPr>
              <w:t>18</w:t>
            </w:r>
          </w:p>
        </w:tc>
      </w:tr>
    </w:tbl>
    <w:p>
      <w:pPr>
        <w:pStyle w:val="TableParagraph"/>
        <w:spacing w:after="0"/>
        <w:rPr>
          <w:sz w:val="20"/>
        </w:rPr>
        <w:sectPr>
          <w:pgSz w:w="11910" w:h="16840"/>
          <w:pgMar w:header="0" w:footer="955" w:top="1140" w:bottom="1140" w:left="425" w:right="566"/>
        </w:sectPr>
      </w:pPr>
    </w:p>
    <w:p>
      <w:pPr>
        <w:pStyle w:val="Heading1"/>
        <w:spacing w:before="62"/>
      </w:pPr>
      <w:r>
        <w:rPr>
          <w:spacing w:val="-2"/>
        </w:rPr>
        <w:t>Contents</w:t>
      </w:r>
    </w:p>
    <w:p>
      <w:pPr>
        <w:pStyle w:val="BodyText"/>
        <w:spacing w:before="176"/>
        <w:rPr>
          <w:rFonts w:ascii="Arial"/>
          <w:b/>
          <w:sz w:val="20"/>
        </w:rPr>
      </w:pPr>
    </w:p>
    <w:tbl>
      <w:tblPr>
        <w:tblW w:w="0" w:type="auto"/>
        <w:jc w:val="left"/>
        <w:tblInd w:w="10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9"/>
        <w:gridCol w:w="6905"/>
        <w:gridCol w:w="682"/>
      </w:tblGrid>
      <w:tr>
        <w:trPr>
          <w:trHeight w:val="390" w:hRule="atLeast"/>
        </w:trPr>
        <w:tc>
          <w:tcPr>
            <w:tcW w:w="1279" w:type="dxa"/>
          </w:tcPr>
          <w:p>
            <w:pPr>
              <w:pStyle w:val="TableParagraph"/>
              <w:spacing w:line="247" w:lineRule="exact"/>
              <w:ind w:left="50"/>
              <w:rPr>
                <w:rFonts w:ascii="Arial"/>
                <w:b/>
                <w:sz w:val="22"/>
              </w:rPr>
            </w:pPr>
            <w:r>
              <w:rPr>
                <w:rFonts w:ascii="Arial"/>
                <w:b/>
                <w:spacing w:val="-2"/>
                <w:sz w:val="22"/>
              </w:rPr>
              <w:t>Paragraph</w:t>
            </w:r>
          </w:p>
        </w:tc>
        <w:tc>
          <w:tcPr>
            <w:tcW w:w="6905" w:type="dxa"/>
          </w:tcPr>
          <w:p>
            <w:pPr>
              <w:pStyle w:val="TableParagraph"/>
              <w:rPr>
                <w:rFonts w:ascii="Times New Roman"/>
                <w:sz w:val="22"/>
              </w:rPr>
            </w:pPr>
          </w:p>
        </w:tc>
        <w:tc>
          <w:tcPr>
            <w:tcW w:w="682" w:type="dxa"/>
          </w:tcPr>
          <w:p>
            <w:pPr>
              <w:pStyle w:val="TableParagraph"/>
              <w:spacing w:line="247" w:lineRule="exact"/>
              <w:ind w:left="57"/>
              <w:jc w:val="center"/>
              <w:rPr>
                <w:rFonts w:ascii="Arial"/>
                <w:b/>
                <w:sz w:val="22"/>
              </w:rPr>
            </w:pPr>
            <w:r>
              <w:rPr>
                <w:rFonts w:ascii="Arial"/>
                <w:b/>
                <w:spacing w:val="-4"/>
                <w:sz w:val="22"/>
              </w:rPr>
              <w:t>Page</w:t>
            </w:r>
          </w:p>
        </w:tc>
      </w:tr>
      <w:tr>
        <w:trPr>
          <w:trHeight w:val="496" w:hRule="atLeast"/>
        </w:trPr>
        <w:tc>
          <w:tcPr>
            <w:tcW w:w="1279" w:type="dxa"/>
          </w:tcPr>
          <w:p>
            <w:pPr>
              <w:pStyle w:val="TableParagraph"/>
              <w:spacing w:before="150"/>
              <w:ind w:left="50"/>
              <w:rPr>
                <w:sz w:val="22"/>
              </w:rPr>
            </w:pPr>
            <w:r>
              <w:rPr>
                <w:spacing w:val="-10"/>
                <w:sz w:val="22"/>
              </w:rPr>
              <w:t>1</w:t>
            </w:r>
          </w:p>
        </w:tc>
        <w:tc>
          <w:tcPr>
            <w:tcW w:w="6905" w:type="dxa"/>
          </w:tcPr>
          <w:p>
            <w:pPr>
              <w:pStyle w:val="TableParagraph"/>
              <w:spacing w:before="136"/>
              <w:ind w:left="138"/>
              <w:rPr>
                <w:rFonts w:ascii="Arial"/>
                <w:b/>
                <w:sz w:val="24"/>
              </w:rPr>
            </w:pPr>
            <w:r>
              <w:rPr>
                <w:rFonts w:ascii="Arial"/>
                <w:b/>
                <w:spacing w:val="-2"/>
                <w:sz w:val="24"/>
              </w:rPr>
              <w:t>Introduction</w:t>
            </w:r>
          </w:p>
        </w:tc>
        <w:tc>
          <w:tcPr>
            <w:tcW w:w="682" w:type="dxa"/>
          </w:tcPr>
          <w:p>
            <w:pPr>
              <w:pStyle w:val="TableParagraph"/>
              <w:spacing w:before="150"/>
              <w:ind w:left="57"/>
              <w:jc w:val="center"/>
              <w:rPr>
                <w:sz w:val="22"/>
              </w:rPr>
            </w:pPr>
            <w:r>
              <w:rPr>
                <w:spacing w:val="-10"/>
                <w:sz w:val="22"/>
              </w:rPr>
              <w:t>4</w:t>
            </w:r>
          </w:p>
        </w:tc>
      </w:tr>
      <w:tr>
        <w:trPr>
          <w:trHeight w:val="435" w:hRule="atLeast"/>
        </w:trPr>
        <w:tc>
          <w:tcPr>
            <w:tcW w:w="1279" w:type="dxa"/>
          </w:tcPr>
          <w:p>
            <w:pPr>
              <w:pStyle w:val="TableParagraph"/>
              <w:spacing w:before="90"/>
              <w:ind w:left="50"/>
              <w:rPr>
                <w:sz w:val="22"/>
              </w:rPr>
            </w:pPr>
            <w:r>
              <w:rPr>
                <w:spacing w:val="-10"/>
                <w:sz w:val="22"/>
              </w:rPr>
              <w:t>2</w:t>
            </w:r>
          </w:p>
        </w:tc>
        <w:tc>
          <w:tcPr>
            <w:tcW w:w="6905" w:type="dxa"/>
          </w:tcPr>
          <w:p>
            <w:pPr>
              <w:pStyle w:val="TableParagraph"/>
              <w:spacing w:before="76"/>
              <w:ind w:left="138"/>
              <w:rPr>
                <w:rFonts w:ascii="Arial"/>
                <w:b/>
                <w:sz w:val="24"/>
              </w:rPr>
            </w:pPr>
            <w:r>
              <w:rPr>
                <w:rFonts w:ascii="Arial"/>
                <w:b/>
                <w:spacing w:val="-2"/>
                <w:sz w:val="24"/>
              </w:rPr>
              <w:t>Purpose</w:t>
            </w:r>
          </w:p>
        </w:tc>
        <w:tc>
          <w:tcPr>
            <w:tcW w:w="682" w:type="dxa"/>
          </w:tcPr>
          <w:p>
            <w:pPr>
              <w:pStyle w:val="TableParagraph"/>
              <w:spacing w:before="90"/>
              <w:ind w:left="57"/>
              <w:jc w:val="center"/>
              <w:rPr>
                <w:sz w:val="22"/>
              </w:rPr>
            </w:pPr>
            <w:r>
              <w:rPr>
                <w:spacing w:val="-10"/>
                <w:sz w:val="22"/>
              </w:rPr>
              <w:t>4</w:t>
            </w:r>
          </w:p>
        </w:tc>
      </w:tr>
      <w:tr>
        <w:trPr>
          <w:trHeight w:val="435" w:hRule="atLeast"/>
        </w:trPr>
        <w:tc>
          <w:tcPr>
            <w:tcW w:w="1279" w:type="dxa"/>
          </w:tcPr>
          <w:p>
            <w:pPr>
              <w:pStyle w:val="TableParagraph"/>
              <w:spacing w:before="89"/>
              <w:ind w:left="50"/>
              <w:rPr>
                <w:sz w:val="22"/>
              </w:rPr>
            </w:pPr>
            <w:r>
              <w:rPr>
                <w:spacing w:val="-10"/>
                <w:sz w:val="22"/>
              </w:rPr>
              <w:t>3</w:t>
            </w:r>
          </w:p>
        </w:tc>
        <w:tc>
          <w:tcPr>
            <w:tcW w:w="6905" w:type="dxa"/>
          </w:tcPr>
          <w:p>
            <w:pPr>
              <w:pStyle w:val="TableParagraph"/>
              <w:spacing w:before="75"/>
              <w:ind w:left="138"/>
              <w:rPr>
                <w:rFonts w:ascii="Arial"/>
                <w:b/>
                <w:sz w:val="24"/>
              </w:rPr>
            </w:pPr>
            <w:r>
              <w:rPr>
                <w:rFonts w:ascii="Arial"/>
                <w:b/>
                <w:spacing w:val="-2"/>
                <w:sz w:val="24"/>
              </w:rPr>
              <w:t>Duties</w:t>
            </w:r>
          </w:p>
        </w:tc>
        <w:tc>
          <w:tcPr>
            <w:tcW w:w="682" w:type="dxa"/>
          </w:tcPr>
          <w:p>
            <w:pPr>
              <w:pStyle w:val="TableParagraph"/>
              <w:spacing w:before="89"/>
              <w:ind w:left="57"/>
              <w:jc w:val="center"/>
              <w:rPr>
                <w:sz w:val="22"/>
              </w:rPr>
            </w:pPr>
            <w:r>
              <w:rPr>
                <w:spacing w:val="-10"/>
                <w:sz w:val="22"/>
              </w:rPr>
              <w:t>4</w:t>
            </w:r>
          </w:p>
        </w:tc>
      </w:tr>
      <w:tr>
        <w:trPr>
          <w:trHeight w:val="497" w:hRule="atLeast"/>
        </w:trPr>
        <w:tc>
          <w:tcPr>
            <w:tcW w:w="1279" w:type="dxa"/>
          </w:tcPr>
          <w:p>
            <w:pPr>
              <w:pStyle w:val="TableParagraph"/>
              <w:spacing w:before="90"/>
              <w:ind w:left="50"/>
              <w:rPr>
                <w:sz w:val="22"/>
              </w:rPr>
            </w:pPr>
            <w:r>
              <w:rPr>
                <w:spacing w:val="-5"/>
                <w:sz w:val="22"/>
              </w:rPr>
              <w:t>3.1</w:t>
            </w:r>
          </w:p>
        </w:tc>
        <w:tc>
          <w:tcPr>
            <w:tcW w:w="6905" w:type="dxa"/>
          </w:tcPr>
          <w:p>
            <w:pPr>
              <w:pStyle w:val="TableParagraph"/>
              <w:spacing w:before="76"/>
              <w:ind w:left="138"/>
              <w:rPr>
                <w:rFonts w:ascii="Arial"/>
                <w:b/>
                <w:sz w:val="24"/>
              </w:rPr>
            </w:pPr>
            <w:r>
              <w:rPr>
                <w:rFonts w:ascii="Arial"/>
                <w:b/>
                <w:sz w:val="24"/>
              </w:rPr>
              <w:t>Duties</w:t>
            </w:r>
            <w:r>
              <w:rPr>
                <w:rFonts w:ascii="Arial"/>
                <w:b/>
                <w:spacing w:val="-2"/>
                <w:sz w:val="24"/>
              </w:rPr>
              <w:t> </w:t>
            </w:r>
            <w:r>
              <w:rPr>
                <w:rFonts w:ascii="Arial"/>
                <w:b/>
                <w:sz w:val="24"/>
              </w:rPr>
              <w:t>within the </w:t>
            </w:r>
            <w:r>
              <w:rPr>
                <w:rFonts w:ascii="Arial"/>
                <w:b/>
                <w:spacing w:val="-2"/>
                <w:sz w:val="24"/>
              </w:rPr>
              <w:t>Organisation</w:t>
            </w:r>
          </w:p>
        </w:tc>
        <w:tc>
          <w:tcPr>
            <w:tcW w:w="682" w:type="dxa"/>
          </w:tcPr>
          <w:p>
            <w:pPr>
              <w:pStyle w:val="TableParagraph"/>
              <w:spacing w:before="90"/>
              <w:ind w:left="57"/>
              <w:jc w:val="center"/>
              <w:rPr>
                <w:sz w:val="22"/>
              </w:rPr>
            </w:pPr>
            <w:r>
              <w:rPr>
                <w:spacing w:val="-10"/>
                <w:sz w:val="22"/>
              </w:rPr>
              <w:t>5</w:t>
            </w:r>
          </w:p>
        </w:tc>
      </w:tr>
      <w:tr>
        <w:trPr>
          <w:trHeight w:val="831" w:hRule="atLeast"/>
        </w:trPr>
        <w:tc>
          <w:tcPr>
            <w:tcW w:w="1279" w:type="dxa"/>
          </w:tcPr>
          <w:p>
            <w:pPr>
              <w:pStyle w:val="TableParagraph"/>
              <w:spacing w:before="34"/>
              <w:rPr>
                <w:rFonts w:ascii="Arial"/>
                <w:b/>
                <w:sz w:val="22"/>
              </w:rPr>
            </w:pPr>
          </w:p>
          <w:p>
            <w:pPr>
              <w:pStyle w:val="TableParagraph"/>
              <w:ind w:left="50"/>
              <w:rPr>
                <w:sz w:val="22"/>
              </w:rPr>
            </w:pPr>
            <w:r>
              <w:rPr>
                <w:spacing w:val="-5"/>
                <w:sz w:val="22"/>
              </w:rPr>
              <w:t>3.2</w:t>
            </w:r>
          </w:p>
        </w:tc>
        <w:tc>
          <w:tcPr>
            <w:tcW w:w="6905" w:type="dxa"/>
          </w:tcPr>
          <w:p>
            <w:pPr>
              <w:pStyle w:val="TableParagraph"/>
              <w:spacing w:before="136"/>
              <w:ind w:left="138" w:right="155"/>
              <w:rPr>
                <w:rFonts w:ascii="Arial"/>
                <w:b/>
                <w:sz w:val="24"/>
              </w:rPr>
            </w:pPr>
            <w:r>
              <w:rPr>
                <w:rFonts w:ascii="Arial"/>
                <w:b/>
                <w:sz w:val="24"/>
              </w:rPr>
              <w:t>Observation</w:t>
            </w:r>
            <w:r>
              <w:rPr>
                <w:rFonts w:ascii="Arial"/>
                <w:b/>
                <w:spacing w:val="-6"/>
                <w:sz w:val="24"/>
              </w:rPr>
              <w:t> </w:t>
            </w:r>
            <w:r>
              <w:rPr>
                <w:rFonts w:ascii="Arial"/>
                <w:b/>
                <w:sz w:val="24"/>
              </w:rPr>
              <w:t>Policy</w:t>
            </w:r>
            <w:r>
              <w:rPr>
                <w:rFonts w:ascii="Arial"/>
                <w:b/>
                <w:spacing w:val="-10"/>
                <w:sz w:val="24"/>
              </w:rPr>
              <w:t> </w:t>
            </w:r>
            <w:r>
              <w:rPr>
                <w:rFonts w:ascii="Arial"/>
                <w:b/>
                <w:sz w:val="24"/>
              </w:rPr>
              <w:t>-</w:t>
            </w:r>
            <w:r>
              <w:rPr>
                <w:rFonts w:ascii="Arial"/>
                <w:b/>
                <w:spacing w:val="-5"/>
                <w:sz w:val="24"/>
              </w:rPr>
              <w:t> </w:t>
            </w:r>
            <w:r>
              <w:rPr>
                <w:rFonts w:ascii="Arial"/>
                <w:b/>
                <w:sz w:val="24"/>
              </w:rPr>
              <w:t>Minimum</w:t>
            </w:r>
            <w:r>
              <w:rPr>
                <w:rFonts w:ascii="Arial"/>
                <w:b/>
                <w:spacing w:val="-6"/>
                <w:sz w:val="24"/>
              </w:rPr>
              <w:t> </w:t>
            </w:r>
            <w:r>
              <w:rPr>
                <w:rFonts w:ascii="Arial"/>
                <w:b/>
                <w:sz w:val="24"/>
              </w:rPr>
              <w:t>Standards</w:t>
            </w:r>
            <w:r>
              <w:rPr>
                <w:rFonts w:ascii="Arial"/>
                <w:b/>
                <w:spacing w:val="-6"/>
                <w:sz w:val="24"/>
              </w:rPr>
              <w:t> </w:t>
            </w:r>
            <w:r>
              <w:rPr>
                <w:rFonts w:ascii="Arial"/>
                <w:b/>
                <w:sz w:val="24"/>
              </w:rPr>
              <w:t>for</w:t>
            </w:r>
            <w:r>
              <w:rPr>
                <w:rFonts w:ascii="Arial"/>
                <w:b/>
                <w:spacing w:val="-5"/>
                <w:sz w:val="24"/>
              </w:rPr>
              <w:t> </w:t>
            </w:r>
            <w:r>
              <w:rPr>
                <w:rFonts w:ascii="Arial"/>
                <w:b/>
                <w:sz w:val="24"/>
              </w:rPr>
              <w:t>Monitoring and Recording Adult Physiological Vital Signs.</w:t>
            </w:r>
          </w:p>
        </w:tc>
        <w:tc>
          <w:tcPr>
            <w:tcW w:w="682" w:type="dxa"/>
          </w:tcPr>
          <w:p>
            <w:pPr>
              <w:pStyle w:val="TableParagraph"/>
              <w:spacing w:before="34"/>
              <w:rPr>
                <w:rFonts w:ascii="Arial"/>
                <w:b/>
                <w:sz w:val="22"/>
              </w:rPr>
            </w:pPr>
          </w:p>
          <w:p>
            <w:pPr>
              <w:pStyle w:val="TableParagraph"/>
              <w:ind w:left="57"/>
              <w:jc w:val="center"/>
              <w:rPr>
                <w:sz w:val="22"/>
              </w:rPr>
            </w:pPr>
            <w:r>
              <w:rPr>
                <w:spacing w:val="-10"/>
                <w:sz w:val="22"/>
              </w:rPr>
              <w:t>6</w:t>
            </w:r>
          </w:p>
        </w:tc>
      </w:tr>
      <w:tr>
        <w:trPr>
          <w:trHeight w:val="1048" w:hRule="atLeast"/>
        </w:trPr>
        <w:tc>
          <w:tcPr>
            <w:tcW w:w="1279" w:type="dxa"/>
          </w:tcPr>
          <w:p>
            <w:pPr>
              <w:pStyle w:val="TableParagraph"/>
              <w:spacing w:before="135"/>
              <w:rPr>
                <w:rFonts w:ascii="Arial"/>
                <w:b/>
                <w:sz w:val="24"/>
              </w:rPr>
            </w:pPr>
          </w:p>
          <w:p>
            <w:pPr>
              <w:pStyle w:val="TableParagraph"/>
              <w:ind w:left="50"/>
              <w:rPr>
                <w:sz w:val="24"/>
              </w:rPr>
            </w:pPr>
            <w:r>
              <w:rPr>
                <w:spacing w:val="-10"/>
                <w:sz w:val="24"/>
              </w:rPr>
              <w:t>4</w:t>
            </w:r>
          </w:p>
        </w:tc>
        <w:tc>
          <w:tcPr>
            <w:tcW w:w="6905" w:type="dxa"/>
          </w:tcPr>
          <w:p>
            <w:pPr>
              <w:pStyle w:val="TableParagraph"/>
              <w:spacing w:before="135"/>
              <w:ind w:left="138" w:right="230"/>
              <w:jc w:val="both"/>
              <w:rPr>
                <w:rFonts w:ascii="Arial"/>
                <w:b/>
                <w:sz w:val="24"/>
              </w:rPr>
            </w:pPr>
            <w:r>
              <w:rPr>
                <w:rFonts w:ascii="Arial"/>
                <w:b/>
                <w:sz w:val="24"/>
              </w:rPr>
              <w:t>Process for monitoring compliance to the Observation Policy - Minimum Standards for Monitoring and Recording Adult Physiological Vital Signs</w:t>
            </w:r>
          </w:p>
        </w:tc>
        <w:tc>
          <w:tcPr>
            <w:tcW w:w="682" w:type="dxa"/>
          </w:tcPr>
          <w:p>
            <w:pPr>
              <w:pStyle w:val="TableParagraph"/>
              <w:spacing w:before="172"/>
              <w:rPr>
                <w:rFonts w:ascii="Arial"/>
                <w:b/>
                <w:sz w:val="22"/>
              </w:rPr>
            </w:pPr>
          </w:p>
          <w:p>
            <w:pPr>
              <w:pStyle w:val="TableParagraph"/>
              <w:ind w:left="57" w:right="2"/>
              <w:jc w:val="center"/>
              <w:rPr>
                <w:sz w:val="22"/>
              </w:rPr>
            </w:pPr>
            <w:r>
              <w:rPr>
                <w:spacing w:val="-5"/>
                <w:sz w:val="22"/>
              </w:rPr>
              <w:t>11</w:t>
            </w:r>
          </w:p>
        </w:tc>
      </w:tr>
      <w:tr>
        <w:trPr>
          <w:trHeight w:val="711" w:hRule="atLeast"/>
        </w:trPr>
        <w:tc>
          <w:tcPr>
            <w:tcW w:w="1279" w:type="dxa"/>
          </w:tcPr>
          <w:p>
            <w:pPr>
              <w:pStyle w:val="TableParagraph"/>
              <w:spacing w:before="214"/>
              <w:ind w:left="50"/>
              <w:rPr>
                <w:sz w:val="24"/>
              </w:rPr>
            </w:pPr>
            <w:r>
              <w:rPr>
                <w:spacing w:val="-10"/>
                <w:sz w:val="24"/>
              </w:rPr>
              <w:t>5</w:t>
            </w:r>
          </w:p>
        </w:tc>
        <w:tc>
          <w:tcPr>
            <w:tcW w:w="6905" w:type="dxa"/>
          </w:tcPr>
          <w:p>
            <w:pPr>
              <w:pStyle w:val="TableParagraph"/>
              <w:spacing w:before="75"/>
              <w:ind w:left="138"/>
              <w:rPr>
                <w:rFonts w:ascii="Arial"/>
                <w:b/>
                <w:sz w:val="24"/>
              </w:rPr>
            </w:pPr>
            <w:r>
              <w:rPr>
                <w:rFonts w:ascii="Arial"/>
                <w:b/>
                <w:sz w:val="24"/>
              </w:rPr>
              <w:t>Standards/key</w:t>
            </w:r>
            <w:r>
              <w:rPr>
                <w:rFonts w:ascii="Arial"/>
                <w:b/>
                <w:spacing w:val="40"/>
                <w:sz w:val="24"/>
              </w:rPr>
              <w:t> </w:t>
            </w:r>
            <w:r>
              <w:rPr>
                <w:rFonts w:ascii="Arial"/>
                <w:b/>
                <w:sz w:val="24"/>
              </w:rPr>
              <w:t>performance</w:t>
            </w:r>
            <w:r>
              <w:rPr>
                <w:rFonts w:ascii="Arial"/>
                <w:b/>
                <w:spacing w:val="40"/>
                <w:sz w:val="24"/>
              </w:rPr>
              <w:t> </w:t>
            </w:r>
            <w:r>
              <w:rPr>
                <w:rFonts w:ascii="Arial"/>
                <w:b/>
                <w:sz w:val="24"/>
              </w:rPr>
              <w:t>indicators</w:t>
            </w:r>
            <w:r>
              <w:rPr>
                <w:rFonts w:ascii="Arial"/>
                <w:b/>
                <w:spacing w:val="40"/>
                <w:sz w:val="24"/>
              </w:rPr>
              <w:t> </w:t>
            </w:r>
            <w:r>
              <w:rPr>
                <w:rFonts w:ascii="Arial"/>
                <w:b/>
                <w:sz w:val="24"/>
              </w:rPr>
              <w:t>and</w:t>
            </w:r>
            <w:r>
              <w:rPr>
                <w:rFonts w:ascii="Arial"/>
                <w:b/>
                <w:spacing w:val="40"/>
                <w:sz w:val="24"/>
              </w:rPr>
              <w:t> </w:t>
            </w:r>
            <w:r>
              <w:rPr>
                <w:rFonts w:ascii="Arial"/>
                <w:b/>
                <w:sz w:val="24"/>
              </w:rPr>
              <w:t>process</w:t>
            </w:r>
            <w:r>
              <w:rPr>
                <w:rFonts w:ascii="Arial"/>
                <w:b/>
                <w:spacing w:val="40"/>
                <w:sz w:val="24"/>
              </w:rPr>
              <w:t> </w:t>
            </w:r>
            <w:r>
              <w:rPr>
                <w:rFonts w:ascii="Arial"/>
                <w:b/>
                <w:sz w:val="24"/>
              </w:rPr>
              <w:t>for monitoring compliance</w:t>
            </w:r>
          </w:p>
        </w:tc>
        <w:tc>
          <w:tcPr>
            <w:tcW w:w="682" w:type="dxa"/>
          </w:tcPr>
          <w:p>
            <w:pPr>
              <w:pStyle w:val="TableParagraph"/>
              <w:spacing w:before="226"/>
              <w:ind w:left="57" w:right="2"/>
              <w:jc w:val="center"/>
              <w:rPr>
                <w:sz w:val="22"/>
              </w:rPr>
            </w:pPr>
            <w:r>
              <w:rPr>
                <w:spacing w:val="-5"/>
                <w:sz w:val="22"/>
              </w:rPr>
              <w:t>12</w:t>
            </w:r>
          </w:p>
        </w:tc>
      </w:tr>
      <w:tr>
        <w:trPr>
          <w:trHeight w:val="711" w:hRule="atLeast"/>
        </w:trPr>
        <w:tc>
          <w:tcPr>
            <w:tcW w:w="1279" w:type="dxa"/>
          </w:tcPr>
          <w:p>
            <w:pPr>
              <w:pStyle w:val="TableParagraph"/>
              <w:spacing w:before="213"/>
              <w:ind w:left="50"/>
              <w:rPr>
                <w:sz w:val="24"/>
              </w:rPr>
            </w:pPr>
            <w:r>
              <w:rPr>
                <w:spacing w:val="-10"/>
                <w:sz w:val="24"/>
              </w:rPr>
              <w:t>6</w:t>
            </w:r>
          </w:p>
        </w:tc>
        <w:tc>
          <w:tcPr>
            <w:tcW w:w="6905" w:type="dxa"/>
          </w:tcPr>
          <w:p>
            <w:pPr>
              <w:pStyle w:val="TableParagraph"/>
              <w:tabs>
                <w:tab w:pos="2071" w:val="left" w:leader="none"/>
                <w:tab w:pos="4069" w:val="left" w:leader="none"/>
                <w:tab w:pos="4724" w:val="left" w:leader="none"/>
                <w:tab w:pos="5788" w:val="left" w:leader="none"/>
                <w:tab w:pos="6239" w:val="left" w:leader="none"/>
              </w:tabs>
              <w:spacing w:before="76"/>
              <w:ind w:left="138" w:right="237"/>
              <w:rPr>
                <w:rFonts w:ascii="Arial"/>
                <w:b/>
                <w:sz w:val="24"/>
              </w:rPr>
            </w:pPr>
            <w:r>
              <w:rPr>
                <w:rFonts w:ascii="Arial"/>
                <w:b/>
                <w:spacing w:val="-2"/>
                <w:sz w:val="24"/>
              </w:rPr>
              <w:t>Dissemination,</w:t>
            </w:r>
            <w:r>
              <w:rPr>
                <w:rFonts w:ascii="Arial"/>
                <w:b/>
                <w:sz w:val="24"/>
              </w:rPr>
              <w:tab/>
            </w:r>
            <w:r>
              <w:rPr>
                <w:rFonts w:ascii="Arial"/>
                <w:b/>
                <w:spacing w:val="-2"/>
                <w:sz w:val="24"/>
              </w:rPr>
              <w:t>Implementation</w:t>
            </w:r>
            <w:r>
              <w:rPr>
                <w:rFonts w:ascii="Arial"/>
                <w:b/>
                <w:sz w:val="24"/>
              </w:rPr>
              <w:tab/>
            </w:r>
            <w:r>
              <w:rPr>
                <w:rFonts w:ascii="Arial"/>
                <w:b/>
                <w:spacing w:val="-4"/>
                <w:sz w:val="24"/>
              </w:rPr>
              <w:t>and</w:t>
            </w:r>
            <w:r>
              <w:rPr>
                <w:rFonts w:ascii="Arial"/>
                <w:b/>
                <w:sz w:val="24"/>
              </w:rPr>
              <w:tab/>
            </w:r>
            <w:r>
              <w:rPr>
                <w:rFonts w:ascii="Arial"/>
                <w:b/>
                <w:spacing w:val="-2"/>
                <w:sz w:val="24"/>
              </w:rPr>
              <w:t>Access</w:t>
            </w:r>
            <w:r>
              <w:rPr>
                <w:rFonts w:ascii="Arial"/>
                <w:b/>
                <w:sz w:val="24"/>
              </w:rPr>
              <w:tab/>
            </w:r>
            <w:r>
              <w:rPr>
                <w:rFonts w:ascii="Arial"/>
                <w:b/>
                <w:spacing w:val="-6"/>
                <w:sz w:val="24"/>
              </w:rPr>
              <w:t>to</w:t>
            </w:r>
            <w:r>
              <w:rPr>
                <w:rFonts w:ascii="Arial"/>
                <w:b/>
                <w:sz w:val="24"/>
              </w:rPr>
              <w:tab/>
            </w:r>
            <w:r>
              <w:rPr>
                <w:rFonts w:ascii="Arial"/>
                <w:b/>
                <w:spacing w:val="-4"/>
                <w:sz w:val="24"/>
              </w:rPr>
              <w:t>this </w:t>
            </w:r>
            <w:r>
              <w:rPr>
                <w:rFonts w:ascii="Arial"/>
                <w:b/>
                <w:spacing w:val="-2"/>
                <w:sz w:val="24"/>
              </w:rPr>
              <w:t>Document</w:t>
            </w:r>
          </w:p>
        </w:tc>
        <w:tc>
          <w:tcPr>
            <w:tcW w:w="682" w:type="dxa"/>
          </w:tcPr>
          <w:p>
            <w:pPr>
              <w:pStyle w:val="TableParagraph"/>
              <w:spacing w:before="227"/>
              <w:ind w:left="57" w:right="2"/>
              <w:jc w:val="center"/>
              <w:rPr>
                <w:sz w:val="22"/>
              </w:rPr>
            </w:pPr>
            <w:r>
              <w:rPr>
                <w:spacing w:val="-5"/>
                <w:sz w:val="22"/>
              </w:rPr>
              <w:t>12</w:t>
            </w:r>
          </w:p>
        </w:tc>
      </w:tr>
      <w:tr>
        <w:trPr>
          <w:trHeight w:val="792" w:hRule="atLeast"/>
        </w:trPr>
        <w:tc>
          <w:tcPr>
            <w:tcW w:w="1279" w:type="dxa"/>
          </w:tcPr>
          <w:p>
            <w:pPr>
              <w:pStyle w:val="TableParagraph"/>
              <w:spacing w:before="75"/>
              <w:ind w:left="50"/>
              <w:rPr>
                <w:sz w:val="24"/>
              </w:rPr>
            </w:pPr>
            <w:r>
              <w:rPr>
                <w:spacing w:val="-10"/>
                <w:sz w:val="24"/>
              </w:rPr>
              <w:t>7</w:t>
            </w:r>
          </w:p>
          <w:p>
            <w:pPr>
              <w:pStyle w:val="TableParagraph"/>
              <w:spacing w:before="82"/>
              <w:ind w:left="50"/>
              <w:rPr>
                <w:sz w:val="24"/>
              </w:rPr>
            </w:pPr>
            <w:r>
              <w:rPr>
                <w:spacing w:val="-10"/>
                <w:sz w:val="24"/>
              </w:rPr>
              <w:t>8</w:t>
            </w:r>
          </w:p>
        </w:tc>
        <w:tc>
          <w:tcPr>
            <w:tcW w:w="6905" w:type="dxa"/>
          </w:tcPr>
          <w:p>
            <w:pPr>
              <w:pStyle w:val="TableParagraph"/>
              <w:spacing w:line="358" w:lineRule="exact" w:before="14"/>
              <w:ind w:left="138" w:right="397"/>
              <w:rPr>
                <w:rFonts w:ascii="Arial"/>
                <w:b/>
                <w:sz w:val="24"/>
              </w:rPr>
            </w:pPr>
            <w:r>
              <w:rPr>
                <w:rFonts w:ascii="Arial"/>
                <w:b/>
                <w:sz w:val="24"/>
              </w:rPr>
              <w:t>Review</w:t>
            </w:r>
            <w:r>
              <w:rPr>
                <w:rFonts w:ascii="Arial"/>
                <w:b/>
                <w:sz w:val="22"/>
              </w:rPr>
              <w:t>,</w:t>
            </w:r>
            <w:r>
              <w:rPr>
                <w:rFonts w:ascii="Arial"/>
                <w:b/>
                <w:spacing w:val="-5"/>
                <w:sz w:val="22"/>
              </w:rPr>
              <w:t> </w:t>
            </w:r>
            <w:r>
              <w:rPr>
                <w:rFonts w:ascii="Arial"/>
                <w:b/>
                <w:sz w:val="24"/>
              </w:rPr>
              <w:t>Updating</w:t>
            </w:r>
            <w:r>
              <w:rPr>
                <w:rFonts w:ascii="Arial"/>
                <w:b/>
                <w:spacing w:val="-10"/>
                <w:sz w:val="24"/>
              </w:rPr>
              <w:t> </w:t>
            </w:r>
            <w:r>
              <w:rPr>
                <w:rFonts w:ascii="Arial"/>
                <w:b/>
                <w:sz w:val="24"/>
              </w:rPr>
              <w:t>and</w:t>
            </w:r>
            <w:r>
              <w:rPr>
                <w:rFonts w:ascii="Arial"/>
                <w:b/>
                <w:spacing w:val="-5"/>
                <w:sz w:val="24"/>
              </w:rPr>
              <w:t> </w:t>
            </w:r>
            <w:r>
              <w:rPr>
                <w:rFonts w:ascii="Arial"/>
                <w:b/>
                <w:sz w:val="24"/>
              </w:rPr>
              <w:t>Archiving</w:t>
            </w:r>
            <w:r>
              <w:rPr>
                <w:rFonts w:ascii="Arial"/>
                <w:b/>
                <w:spacing w:val="-7"/>
                <w:sz w:val="24"/>
              </w:rPr>
              <w:t> </w:t>
            </w:r>
            <w:r>
              <w:rPr>
                <w:rFonts w:ascii="Arial"/>
                <w:b/>
                <w:sz w:val="24"/>
              </w:rPr>
              <w:t>of</w:t>
            </w:r>
            <w:r>
              <w:rPr>
                <w:rFonts w:ascii="Arial"/>
                <w:b/>
                <w:spacing w:val="-7"/>
                <w:sz w:val="24"/>
              </w:rPr>
              <w:t> </w:t>
            </w:r>
            <w:r>
              <w:rPr>
                <w:rFonts w:ascii="Arial"/>
                <w:b/>
                <w:sz w:val="24"/>
              </w:rPr>
              <w:t>this</w:t>
            </w:r>
            <w:r>
              <w:rPr>
                <w:rFonts w:ascii="Arial"/>
                <w:b/>
                <w:spacing w:val="-6"/>
                <w:sz w:val="24"/>
              </w:rPr>
              <w:t> </w:t>
            </w:r>
            <w:r>
              <w:rPr>
                <w:rFonts w:ascii="Arial"/>
                <w:b/>
                <w:sz w:val="24"/>
              </w:rPr>
              <w:t>Document Expert and Stakeholder Involvement</w:t>
            </w:r>
          </w:p>
        </w:tc>
        <w:tc>
          <w:tcPr>
            <w:tcW w:w="682" w:type="dxa"/>
          </w:tcPr>
          <w:p>
            <w:pPr>
              <w:pStyle w:val="TableParagraph"/>
              <w:spacing w:before="101"/>
              <w:ind w:left="231"/>
              <w:rPr>
                <w:sz w:val="22"/>
              </w:rPr>
            </w:pPr>
            <w:r>
              <w:rPr>
                <w:spacing w:val="-5"/>
                <w:sz w:val="22"/>
              </w:rPr>
              <w:t>13</w:t>
            </w:r>
          </w:p>
          <w:p>
            <w:pPr>
              <w:pStyle w:val="TableParagraph"/>
              <w:spacing w:before="78"/>
              <w:ind w:left="231"/>
              <w:rPr>
                <w:sz w:val="22"/>
              </w:rPr>
            </w:pPr>
            <w:r>
              <w:rPr>
                <w:spacing w:val="-5"/>
                <w:sz w:val="22"/>
              </w:rPr>
              <w:t>14</w:t>
            </w:r>
          </w:p>
        </w:tc>
      </w:tr>
      <w:tr>
        <w:trPr>
          <w:trHeight w:val="435" w:hRule="atLeast"/>
        </w:trPr>
        <w:tc>
          <w:tcPr>
            <w:tcW w:w="1279" w:type="dxa"/>
          </w:tcPr>
          <w:p>
            <w:pPr>
              <w:pStyle w:val="TableParagraph"/>
              <w:spacing w:before="75"/>
              <w:ind w:left="50"/>
              <w:rPr>
                <w:sz w:val="24"/>
              </w:rPr>
            </w:pPr>
            <w:r>
              <w:rPr>
                <w:spacing w:val="-10"/>
                <w:sz w:val="24"/>
              </w:rPr>
              <w:t>9</w:t>
            </w:r>
          </w:p>
        </w:tc>
        <w:tc>
          <w:tcPr>
            <w:tcW w:w="6905" w:type="dxa"/>
          </w:tcPr>
          <w:p>
            <w:pPr>
              <w:pStyle w:val="TableParagraph"/>
              <w:spacing w:before="75"/>
              <w:ind w:left="138"/>
              <w:rPr>
                <w:rFonts w:ascii="Arial"/>
                <w:b/>
                <w:sz w:val="24"/>
              </w:rPr>
            </w:pPr>
            <w:r>
              <w:rPr>
                <w:rFonts w:ascii="Arial"/>
                <w:b/>
                <w:spacing w:val="-2"/>
                <w:sz w:val="24"/>
              </w:rPr>
              <w:t>References</w:t>
            </w:r>
          </w:p>
        </w:tc>
        <w:tc>
          <w:tcPr>
            <w:tcW w:w="682" w:type="dxa"/>
          </w:tcPr>
          <w:p>
            <w:pPr>
              <w:pStyle w:val="TableParagraph"/>
              <w:spacing w:before="89"/>
              <w:ind w:left="57" w:right="2"/>
              <w:jc w:val="center"/>
              <w:rPr>
                <w:sz w:val="22"/>
              </w:rPr>
            </w:pPr>
            <w:r>
              <w:rPr>
                <w:spacing w:val="-5"/>
                <w:sz w:val="22"/>
              </w:rPr>
              <w:t>14</w:t>
            </w:r>
          </w:p>
        </w:tc>
      </w:tr>
      <w:tr>
        <w:trPr>
          <w:trHeight w:val="496" w:hRule="atLeast"/>
        </w:trPr>
        <w:tc>
          <w:tcPr>
            <w:tcW w:w="1279" w:type="dxa"/>
          </w:tcPr>
          <w:p>
            <w:pPr>
              <w:pStyle w:val="TableParagraph"/>
              <w:spacing w:before="76"/>
              <w:ind w:left="50"/>
              <w:rPr>
                <w:sz w:val="24"/>
              </w:rPr>
            </w:pPr>
            <w:r>
              <w:rPr>
                <w:spacing w:val="-5"/>
                <w:sz w:val="24"/>
              </w:rPr>
              <w:t>10</w:t>
            </w:r>
          </w:p>
        </w:tc>
        <w:tc>
          <w:tcPr>
            <w:tcW w:w="6905" w:type="dxa"/>
          </w:tcPr>
          <w:p>
            <w:pPr>
              <w:pStyle w:val="TableParagraph"/>
              <w:spacing w:before="76"/>
              <w:ind w:left="138"/>
              <w:rPr>
                <w:rFonts w:ascii="Arial"/>
                <w:b/>
                <w:sz w:val="24"/>
              </w:rPr>
            </w:pPr>
            <w:r>
              <w:rPr>
                <w:rFonts w:ascii="Arial"/>
                <w:b/>
                <w:sz w:val="24"/>
              </w:rPr>
              <w:t>Associated</w:t>
            </w:r>
            <w:r>
              <w:rPr>
                <w:rFonts w:ascii="Arial"/>
                <w:b/>
                <w:spacing w:val="-3"/>
                <w:sz w:val="24"/>
              </w:rPr>
              <w:t> </w:t>
            </w:r>
            <w:r>
              <w:rPr>
                <w:rFonts w:ascii="Arial"/>
                <w:b/>
                <w:spacing w:val="-2"/>
                <w:sz w:val="24"/>
              </w:rPr>
              <w:t>Documentation</w:t>
            </w:r>
          </w:p>
        </w:tc>
        <w:tc>
          <w:tcPr>
            <w:tcW w:w="682" w:type="dxa"/>
          </w:tcPr>
          <w:p>
            <w:pPr>
              <w:pStyle w:val="TableParagraph"/>
              <w:spacing w:before="90"/>
              <w:ind w:left="57" w:right="2"/>
              <w:jc w:val="center"/>
              <w:rPr>
                <w:sz w:val="22"/>
              </w:rPr>
            </w:pPr>
            <w:r>
              <w:rPr>
                <w:spacing w:val="-5"/>
                <w:sz w:val="22"/>
              </w:rPr>
              <w:t>17</w:t>
            </w:r>
          </w:p>
        </w:tc>
      </w:tr>
      <w:tr>
        <w:trPr>
          <w:trHeight w:val="555" w:hRule="atLeast"/>
        </w:trPr>
        <w:tc>
          <w:tcPr>
            <w:tcW w:w="1279" w:type="dxa"/>
          </w:tcPr>
          <w:p>
            <w:pPr>
              <w:pStyle w:val="TableParagraph"/>
              <w:spacing w:before="136"/>
              <w:ind w:left="50"/>
              <w:rPr>
                <w:sz w:val="24"/>
              </w:rPr>
            </w:pPr>
            <w:r>
              <w:rPr>
                <w:spacing w:val="-5"/>
                <w:sz w:val="24"/>
              </w:rPr>
              <w:t>11</w:t>
            </w:r>
          </w:p>
        </w:tc>
        <w:tc>
          <w:tcPr>
            <w:tcW w:w="6905" w:type="dxa"/>
          </w:tcPr>
          <w:p>
            <w:pPr>
              <w:pStyle w:val="TableParagraph"/>
              <w:spacing w:before="136"/>
              <w:ind w:left="138"/>
              <w:rPr>
                <w:rFonts w:ascii="Arial"/>
                <w:b/>
                <w:sz w:val="24"/>
              </w:rPr>
            </w:pPr>
            <w:r>
              <w:rPr>
                <w:rFonts w:ascii="Arial"/>
                <w:b/>
                <w:spacing w:val="-2"/>
                <w:sz w:val="24"/>
              </w:rPr>
              <w:t>Appendices</w:t>
            </w:r>
          </w:p>
        </w:tc>
        <w:tc>
          <w:tcPr>
            <w:tcW w:w="682" w:type="dxa"/>
          </w:tcPr>
          <w:p>
            <w:pPr>
              <w:pStyle w:val="TableParagraph"/>
              <w:spacing w:before="148"/>
              <w:ind w:left="57" w:right="2"/>
              <w:jc w:val="center"/>
              <w:rPr>
                <w:sz w:val="22"/>
              </w:rPr>
            </w:pPr>
            <w:r>
              <w:rPr>
                <w:spacing w:val="-5"/>
                <w:sz w:val="22"/>
              </w:rPr>
              <w:t>17</w:t>
            </w:r>
          </w:p>
        </w:tc>
      </w:tr>
      <w:tr>
        <w:trPr>
          <w:trHeight w:val="772" w:hRule="atLeast"/>
        </w:trPr>
        <w:tc>
          <w:tcPr>
            <w:tcW w:w="1279" w:type="dxa"/>
          </w:tcPr>
          <w:p>
            <w:pPr>
              <w:pStyle w:val="TableParagraph"/>
              <w:rPr>
                <w:rFonts w:ascii="Times New Roman"/>
                <w:sz w:val="22"/>
              </w:rPr>
            </w:pPr>
          </w:p>
        </w:tc>
        <w:tc>
          <w:tcPr>
            <w:tcW w:w="6905" w:type="dxa"/>
          </w:tcPr>
          <w:p>
            <w:pPr>
              <w:pStyle w:val="TableParagraph"/>
              <w:spacing w:line="242" w:lineRule="auto" w:before="135"/>
              <w:ind w:left="138"/>
              <w:rPr>
                <w:sz w:val="24"/>
              </w:rPr>
            </w:pPr>
            <w:r>
              <w:rPr>
                <w:rFonts w:ascii="Arial"/>
                <w:b/>
                <w:sz w:val="24"/>
              </w:rPr>
              <w:t>Appendix</w:t>
            </w:r>
            <w:r>
              <w:rPr>
                <w:rFonts w:ascii="Arial"/>
                <w:b/>
                <w:spacing w:val="40"/>
                <w:sz w:val="24"/>
              </w:rPr>
              <w:t> </w:t>
            </w:r>
            <w:r>
              <w:rPr>
                <w:rFonts w:ascii="Arial"/>
                <w:b/>
                <w:sz w:val="24"/>
              </w:rPr>
              <w:t>A</w:t>
            </w:r>
            <w:r>
              <w:rPr>
                <w:rFonts w:ascii="Arial"/>
                <w:b/>
                <w:spacing w:val="34"/>
                <w:sz w:val="24"/>
              </w:rPr>
              <w:t> </w:t>
            </w:r>
            <w:r>
              <w:rPr>
                <w:sz w:val="24"/>
              </w:rPr>
              <w:t>Modified</w:t>
            </w:r>
            <w:r>
              <w:rPr>
                <w:spacing w:val="36"/>
                <w:sz w:val="24"/>
              </w:rPr>
              <w:t> </w:t>
            </w:r>
            <w:r>
              <w:rPr>
                <w:sz w:val="24"/>
              </w:rPr>
              <w:t>early</w:t>
            </w:r>
            <w:r>
              <w:rPr>
                <w:spacing w:val="35"/>
                <w:sz w:val="24"/>
              </w:rPr>
              <w:t> </w:t>
            </w:r>
            <w:r>
              <w:rPr>
                <w:sz w:val="24"/>
              </w:rPr>
              <w:t>warning</w:t>
            </w:r>
            <w:r>
              <w:rPr>
                <w:spacing w:val="37"/>
                <w:sz w:val="24"/>
              </w:rPr>
              <w:t> </w:t>
            </w:r>
            <w:r>
              <w:rPr>
                <w:sz w:val="24"/>
              </w:rPr>
              <w:t>score</w:t>
            </w:r>
            <w:r>
              <w:rPr>
                <w:spacing w:val="38"/>
                <w:sz w:val="24"/>
              </w:rPr>
              <w:t> </w:t>
            </w:r>
            <w:r>
              <w:rPr>
                <w:sz w:val="24"/>
              </w:rPr>
              <w:t>tool</w:t>
            </w:r>
            <w:r>
              <w:rPr>
                <w:spacing w:val="40"/>
                <w:sz w:val="24"/>
              </w:rPr>
              <w:t> </w:t>
            </w:r>
            <w:r>
              <w:rPr>
                <w:sz w:val="24"/>
              </w:rPr>
              <w:t>and</w:t>
            </w:r>
            <w:r>
              <w:rPr>
                <w:spacing w:val="39"/>
                <w:sz w:val="24"/>
              </w:rPr>
              <w:t> </w:t>
            </w:r>
            <w:r>
              <w:rPr>
                <w:sz w:val="24"/>
              </w:rPr>
              <w:t>MEWS Escalation Strategy</w:t>
            </w:r>
          </w:p>
        </w:tc>
        <w:tc>
          <w:tcPr>
            <w:tcW w:w="682" w:type="dxa"/>
          </w:tcPr>
          <w:p>
            <w:pPr>
              <w:pStyle w:val="TableParagraph"/>
              <w:spacing w:before="35"/>
              <w:rPr>
                <w:rFonts w:ascii="Arial"/>
                <w:b/>
                <w:sz w:val="22"/>
              </w:rPr>
            </w:pPr>
          </w:p>
          <w:p>
            <w:pPr>
              <w:pStyle w:val="TableParagraph"/>
              <w:ind w:left="57" w:right="2"/>
              <w:jc w:val="center"/>
              <w:rPr>
                <w:sz w:val="22"/>
              </w:rPr>
            </w:pPr>
            <w:r>
              <w:rPr>
                <w:spacing w:val="-5"/>
                <w:sz w:val="22"/>
              </w:rPr>
              <w:t>18</w:t>
            </w:r>
          </w:p>
        </w:tc>
      </w:tr>
      <w:tr>
        <w:trPr>
          <w:trHeight w:val="435" w:hRule="atLeast"/>
        </w:trPr>
        <w:tc>
          <w:tcPr>
            <w:tcW w:w="1279" w:type="dxa"/>
          </w:tcPr>
          <w:p>
            <w:pPr>
              <w:pStyle w:val="TableParagraph"/>
              <w:rPr>
                <w:rFonts w:ascii="Times New Roman"/>
                <w:sz w:val="22"/>
              </w:rPr>
            </w:pPr>
          </w:p>
        </w:tc>
        <w:tc>
          <w:tcPr>
            <w:tcW w:w="6905" w:type="dxa"/>
          </w:tcPr>
          <w:p>
            <w:pPr>
              <w:pStyle w:val="TableParagraph"/>
              <w:spacing w:before="75"/>
              <w:ind w:left="138"/>
              <w:rPr>
                <w:sz w:val="24"/>
              </w:rPr>
            </w:pPr>
            <w:r>
              <w:rPr>
                <w:rFonts w:ascii="Arial"/>
                <w:b/>
                <w:sz w:val="24"/>
              </w:rPr>
              <w:t>Appendix</w:t>
            </w:r>
            <w:r>
              <w:rPr>
                <w:rFonts w:ascii="Arial"/>
                <w:b/>
                <w:spacing w:val="-1"/>
                <w:sz w:val="24"/>
              </w:rPr>
              <w:t> </w:t>
            </w:r>
            <w:r>
              <w:rPr>
                <w:rFonts w:ascii="Arial"/>
                <w:b/>
                <w:sz w:val="24"/>
              </w:rPr>
              <w:t>B</w:t>
            </w:r>
            <w:r>
              <w:rPr>
                <w:rFonts w:ascii="Arial"/>
                <w:b/>
                <w:spacing w:val="-3"/>
                <w:sz w:val="24"/>
              </w:rPr>
              <w:t> </w:t>
            </w:r>
            <w:r>
              <w:rPr>
                <w:sz w:val="24"/>
              </w:rPr>
              <w:t>Variance</w:t>
            </w:r>
            <w:r>
              <w:rPr>
                <w:spacing w:val="-4"/>
                <w:sz w:val="24"/>
              </w:rPr>
              <w:t> Form</w:t>
            </w:r>
          </w:p>
        </w:tc>
        <w:tc>
          <w:tcPr>
            <w:tcW w:w="682" w:type="dxa"/>
          </w:tcPr>
          <w:p>
            <w:pPr>
              <w:pStyle w:val="TableParagraph"/>
              <w:spacing w:before="89"/>
              <w:ind w:left="57" w:right="3"/>
              <w:jc w:val="center"/>
              <w:rPr>
                <w:sz w:val="22"/>
              </w:rPr>
            </w:pPr>
            <w:r>
              <w:rPr>
                <w:spacing w:val="-5"/>
                <w:sz w:val="22"/>
              </w:rPr>
              <w:t>19</w:t>
            </w:r>
          </w:p>
        </w:tc>
      </w:tr>
      <w:tr>
        <w:trPr>
          <w:trHeight w:val="567" w:hRule="atLeast"/>
        </w:trPr>
        <w:tc>
          <w:tcPr>
            <w:tcW w:w="1279" w:type="dxa"/>
          </w:tcPr>
          <w:p>
            <w:pPr>
              <w:pStyle w:val="TableParagraph"/>
              <w:rPr>
                <w:rFonts w:ascii="Times New Roman"/>
                <w:sz w:val="22"/>
              </w:rPr>
            </w:pPr>
          </w:p>
        </w:tc>
        <w:tc>
          <w:tcPr>
            <w:tcW w:w="6905" w:type="dxa"/>
            <w:vMerge w:val="restart"/>
          </w:tcPr>
          <w:p>
            <w:pPr>
              <w:pStyle w:val="TableParagraph"/>
              <w:spacing w:before="76"/>
              <w:ind w:left="138" w:right="155"/>
              <w:rPr>
                <w:sz w:val="24"/>
              </w:rPr>
            </w:pPr>
            <w:r>
              <w:rPr>
                <w:rFonts w:ascii="Arial"/>
                <w:b/>
                <w:sz w:val="24"/>
              </w:rPr>
              <w:t>Appendix</w:t>
            </w:r>
            <w:r>
              <w:rPr>
                <w:rFonts w:ascii="Arial"/>
                <w:b/>
                <w:spacing w:val="-6"/>
                <w:sz w:val="24"/>
              </w:rPr>
              <w:t> </w:t>
            </w:r>
            <w:r>
              <w:rPr>
                <w:rFonts w:ascii="Arial"/>
                <w:b/>
                <w:sz w:val="24"/>
              </w:rPr>
              <w:t>C</w:t>
            </w:r>
            <w:r>
              <w:rPr>
                <w:rFonts w:ascii="Arial"/>
                <w:b/>
                <w:spacing w:val="-8"/>
                <w:sz w:val="24"/>
              </w:rPr>
              <w:t> </w:t>
            </w:r>
            <w:r>
              <w:rPr>
                <w:sz w:val="24"/>
              </w:rPr>
              <w:t>Summary</w:t>
            </w:r>
            <w:r>
              <w:rPr>
                <w:spacing w:val="-12"/>
                <w:sz w:val="24"/>
              </w:rPr>
              <w:t> </w:t>
            </w:r>
            <w:r>
              <w:rPr>
                <w:sz w:val="24"/>
              </w:rPr>
              <w:t>of</w:t>
            </w:r>
            <w:r>
              <w:rPr>
                <w:spacing w:val="-7"/>
                <w:sz w:val="24"/>
              </w:rPr>
              <w:t> </w:t>
            </w:r>
            <w:r>
              <w:rPr>
                <w:sz w:val="24"/>
              </w:rPr>
              <w:t>standards/key</w:t>
            </w:r>
            <w:r>
              <w:rPr>
                <w:spacing w:val="-11"/>
                <w:sz w:val="24"/>
              </w:rPr>
              <w:t> </w:t>
            </w:r>
            <w:r>
              <w:rPr>
                <w:sz w:val="24"/>
              </w:rPr>
              <w:t>performance </w:t>
            </w:r>
            <w:r>
              <w:rPr>
                <w:spacing w:val="-2"/>
                <w:sz w:val="24"/>
              </w:rPr>
              <w:t>indicators</w:t>
            </w:r>
          </w:p>
          <w:p>
            <w:pPr>
              <w:pStyle w:val="TableParagraph"/>
              <w:spacing w:before="80"/>
              <w:ind w:left="138"/>
              <w:rPr>
                <w:sz w:val="24"/>
              </w:rPr>
            </w:pPr>
            <w:r>
              <w:rPr>
                <w:rFonts w:ascii="Arial"/>
                <w:b/>
                <w:sz w:val="24"/>
              </w:rPr>
              <w:t>Appendix</w:t>
            </w:r>
            <w:r>
              <w:rPr>
                <w:rFonts w:ascii="Arial"/>
                <w:b/>
                <w:spacing w:val="1"/>
                <w:sz w:val="24"/>
              </w:rPr>
              <w:t> </w:t>
            </w:r>
            <w:r>
              <w:rPr>
                <w:rFonts w:ascii="Arial"/>
                <w:b/>
                <w:sz w:val="24"/>
              </w:rPr>
              <w:t>D</w:t>
            </w:r>
            <w:r>
              <w:rPr>
                <w:rFonts w:ascii="Arial"/>
                <w:b/>
                <w:spacing w:val="-2"/>
                <w:sz w:val="24"/>
              </w:rPr>
              <w:t> </w:t>
            </w:r>
            <w:r>
              <w:rPr>
                <w:sz w:val="24"/>
              </w:rPr>
              <w:t>Audit</w:t>
            </w:r>
            <w:r>
              <w:rPr>
                <w:spacing w:val="-3"/>
                <w:sz w:val="24"/>
              </w:rPr>
              <w:t> </w:t>
            </w:r>
            <w:r>
              <w:rPr>
                <w:sz w:val="24"/>
              </w:rPr>
              <w:t>Tool</w:t>
            </w:r>
            <w:r>
              <w:rPr>
                <w:spacing w:val="-2"/>
                <w:sz w:val="24"/>
              </w:rPr>
              <w:t> </w:t>
            </w:r>
            <w:r>
              <w:rPr>
                <w:sz w:val="24"/>
              </w:rPr>
              <w:t>and</w:t>
            </w:r>
            <w:r>
              <w:rPr>
                <w:spacing w:val="-1"/>
                <w:sz w:val="24"/>
              </w:rPr>
              <w:t> </w:t>
            </w:r>
            <w:r>
              <w:rPr>
                <w:spacing w:val="-2"/>
                <w:sz w:val="24"/>
              </w:rPr>
              <w:t>Criteria</w:t>
            </w:r>
          </w:p>
          <w:p>
            <w:pPr>
              <w:pStyle w:val="TableParagraph"/>
              <w:spacing w:before="81"/>
              <w:ind w:left="138"/>
              <w:rPr>
                <w:sz w:val="24"/>
              </w:rPr>
            </w:pPr>
            <w:r>
              <w:rPr>
                <w:rFonts w:ascii="Arial"/>
                <w:b/>
                <w:sz w:val="24"/>
              </w:rPr>
              <w:t>Appendix</w:t>
            </w:r>
            <w:r>
              <w:rPr>
                <w:rFonts w:ascii="Arial"/>
                <w:b/>
                <w:spacing w:val="-3"/>
                <w:sz w:val="24"/>
              </w:rPr>
              <w:t> </w:t>
            </w:r>
            <w:r>
              <w:rPr>
                <w:rFonts w:ascii="Arial"/>
                <w:b/>
                <w:sz w:val="24"/>
              </w:rPr>
              <w:t>E</w:t>
            </w:r>
            <w:r>
              <w:rPr>
                <w:rFonts w:ascii="Arial"/>
                <w:b/>
                <w:spacing w:val="-2"/>
                <w:sz w:val="24"/>
              </w:rPr>
              <w:t> </w:t>
            </w:r>
            <w:r>
              <w:rPr>
                <w:sz w:val="24"/>
              </w:rPr>
              <w:t>Equality</w:t>
            </w:r>
            <w:r>
              <w:rPr>
                <w:spacing w:val="-5"/>
                <w:sz w:val="24"/>
              </w:rPr>
              <w:t> </w:t>
            </w:r>
            <w:r>
              <w:rPr>
                <w:sz w:val="24"/>
              </w:rPr>
              <w:t>Impact</w:t>
            </w:r>
            <w:r>
              <w:rPr>
                <w:spacing w:val="-4"/>
                <w:sz w:val="24"/>
              </w:rPr>
              <w:t> </w:t>
            </w:r>
            <w:r>
              <w:rPr>
                <w:sz w:val="24"/>
              </w:rPr>
              <w:t>Assessment</w:t>
            </w:r>
            <w:r>
              <w:rPr>
                <w:spacing w:val="-5"/>
                <w:sz w:val="24"/>
              </w:rPr>
              <w:t> </w:t>
            </w:r>
            <w:r>
              <w:rPr>
                <w:spacing w:val="-4"/>
                <w:sz w:val="24"/>
              </w:rPr>
              <w:t>Tool</w:t>
            </w:r>
          </w:p>
          <w:p>
            <w:pPr>
              <w:pStyle w:val="TableParagraph"/>
              <w:spacing w:line="250" w:lineRule="atLeast" w:before="179"/>
              <w:ind w:left="138"/>
              <w:rPr>
                <w:sz w:val="22"/>
              </w:rPr>
            </w:pPr>
            <w:r>
              <w:rPr>
                <w:rFonts w:ascii="Arial"/>
                <w:b/>
                <w:sz w:val="24"/>
              </w:rPr>
              <w:t>Appendix</w:t>
            </w:r>
            <w:r>
              <w:rPr>
                <w:rFonts w:ascii="Arial"/>
                <w:b/>
                <w:spacing w:val="80"/>
                <w:sz w:val="24"/>
              </w:rPr>
              <w:t> </w:t>
            </w:r>
            <w:r>
              <w:rPr>
                <w:rFonts w:ascii="Arial"/>
                <w:b/>
                <w:sz w:val="24"/>
              </w:rPr>
              <w:t>F</w:t>
            </w:r>
            <w:r>
              <w:rPr>
                <w:rFonts w:ascii="Arial"/>
                <w:b/>
                <w:spacing w:val="80"/>
                <w:sz w:val="24"/>
              </w:rPr>
              <w:t> </w:t>
            </w:r>
            <w:r>
              <w:rPr>
                <w:sz w:val="22"/>
              </w:rPr>
              <w:t>Plan</w:t>
            </w:r>
            <w:r>
              <w:rPr>
                <w:spacing w:val="80"/>
                <w:sz w:val="22"/>
              </w:rPr>
              <w:t> </w:t>
            </w:r>
            <w:r>
              <w:rPr>
                <w:sz w:val="22"/>
              </w:rPr>
              <w:t>for</w:t>
            </w:r>
            <w:r>
              <w:rPr>
                <w:spacing w:val="80"/>
                <w:sz w:val="22"/>
              </w:rPr>
              <w:t> </w:t>
            </w:r>
            <w:r>
              <w:rPr>
                <w:sz w:val="22"/>
              </w:rPr>
              <w:t>dissemination</w:t>
            </w:r>
            <w:r>
              <w:rPr>
                <w:spacing w:val="80"/>
                <w:sz w:val="22"/>
              </w:rPr>
              <w:t> </w:t>
            </w:r>
            <w:r>
              <w:rPr>
                <w:sz w:val="22"/>
              </w:rPr>
              <w:t>of</w:t>
            </w:r>
            <w:r>
              <w:rPr>
                <w:spacing w:val="80"/>
                <w:sz w:val="22"/>
              </w:rPr>
              <w:t> </w:t>
            </w:r>
            <w:r>
              <w:rPr>
                <w:sz w:val="22"/>
              </w:rPr>
              <w:t>policy</w:t>
            </w:r>
            <w:r>
              <w:rPr>
                <w:spacing w:val="80"/>
                <w:sz w:val="22"/>
              </w:rPr>
              <w:t> </w:t>
            </w:r>
            <w:r>
              <w:rPr>
                <w:sz w:val="22"/>
              </w:rPr>
              <w:t>or</w:t>
            </w:r>
            <w:r>
              <w:rPr>
                <w:spacing w:val="80"/>
                <w:sz w:val="22"/>
              </w:rPr>
              <w:t> </w:t>
            </w:r>
            <w:r>
              <w:rPr>
                <w:sz w:val="22"/>
              </w:rPr>
              <w:t>procedural </w:t>
            </w:r>
            <w:r>
              <w:rPr>
                <w:spacing w:val="-2"/>
                <w:sz w:val="22"/>
              </w:rPr>
              <w:t>documents</w:t>
            </w:r>
          </w:p>
        </w:tc>
        <w:tc>
          <w:tcPr>
            <w:tcW w:w="682" w:type="dxa"/>
          </w:tcPr>
          <w:p>
            <w:pPr>
              <w:pStyle w:val="TableParagraph"/>
              <w:spacing w:before="88"/>
              <w:ind w:left="57" w:right="2"/>
              <w:jc w:val="center"/>
              <w:rPr>
                <w:sz w:val="22"/>
              </w:rPr>
            </w:pPr>
            <w:r>
              <w:rPr>
                <w:spacing w:val="-5"/>
                <w:sz w:val="22"/>
              </w:rPr>
              <w:t>20</w:t>
            </w:r>
          </w:p>
        </w:tc>
      </w:tr>
      <w:tr>
        <w:trPr>
          <w:trHeight w:val="1502" w:hRule="atLeast"/>
        </w:trPr>
        <w:tc>
          <w:tcPr>
            <w:tcW w:w="1279" w:type="dxa"/>
          </w:tcPr>
          <w:p>
            <w:pPr>
              <w:pStyle w:val="TableParagraph"/>
              <w:rPr>
                <w:rFonts w:ascii="Times New Roman"/>
                <w:sz w:val="22"/>
              </w:rPr>
            </w:pPr>
          </w:p>
        </w:tc>
        <w:tc>
          <w:tcPr>
            <w:tcW w:w="6905" w:type="dxa"/>
            <w:vMerge/>
            <w:tcBorders>
              <w:top w:val="nil"/>
            </w:tcBorders>
          </w:tcPr>
          <w:p>
            <w:pPr>
              <w:rPr>
                <w:sz w:val="2"/>
                <w:szCs w:val="2"/>
              </w:rPr>
            </w:pPr>
          </w:p>
        </w:tc>
        <w:tc>
          <w:tcPr>
            <w:tcW w:w="682" w:type="dxa"/>
          </w:tcPr>
          <w:p>
            <w:pPr>
              <w:pStyle w:val="TableParagraph"/>
              <w:spacing w:before="219"/>
              <w:ind w:left="245"/>
              <w:rPr>
                <w:sz w:val="22"/>
              </w:rPr>
            </w:pPr>
            <w:r>
              <w:rPr>
                <w:spacing w:val="-5"/>
                <w:sz w:val="22"/>
              </w:rPr>
              <w:t>23</w:t>
            </w:r>
          </w:p>
          <w:p>
            <w:pPr>
              <w:pStyle w:val="TableParagraph"/>
              <w:spacing w:before="78"/>
              <w:ind w:left="231"/>
              <w:rPr>
                <w:sz w:val="22"/>
              </w:rPr>
            </w:pPr>
            <w:r>
              <w:rPr>
                <w:spacing w:val="-5"/>
                <w:sz w:val="22"/>
              </w:rPr>
              <w:t>24</w:t>
            </w:r>
          </w:p>
          <w:p>
            <w:pPr>
              <w:pStyle w:val="TableParagraph"/>
              <w:spacing w:before="81"/>
              <w:ind w:left="245"/>
              <w:rPr>
                <w:sz w:val="22"/>
              </w:rPr>
            </w:pPr>
            <w:r>
              <w:rPr>
                <w:spacing w:val="-5"/>
                <w:sz w:val="22"/>
              </w:rPr>
              <w:t>25</w:t>
            </w:r>
          </w:p>
        </w:tc>
      </w:tr>
    </w:tbl>
    <w:p>
      <w:pPr>
        <w:pStyle w:val="TableParagraph"/>
        <w:spacing w:after="0"/>
        <w:rPr>
          <w:sz w:val="22"/>
        </w:rPr>
        <w:sectPr>
          <w:pgSz w:w="11910" w:h="16840"/>
          <w:pgMar w:header="0" w:footer="955" w:top="1680" w:bottom="1140" w:left="425" w:right="566"/>
        </w:sectPr>
      </w:pPr>
    </w:p>
    <w:p>
      <w:pPr>
        <w:pStyle w:val="BodyText"/>
        <w:spacing w:before="4"/>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7"/>
        <w:gridCol w:w="8441"/>
      </w:tblGrid>
      <w:tr>
        <w:trPr>
          <w:trHeight w:val="437" w:hRule="atLeast"/>
        </w:trPr>
        <w:tc>
          <w:tcPr>
            <w:tcW w:w="687" w:type="dxa"/>
          </w:tcPr>
          <w:p>
            <w:pPr>
              <w:pStyle w:val="TableParagraph"/>
              <w:spacing w:line="314" w:lineRule="exact"/>
              <w:ind w:left="50"/>
              <w:rPr>
                <w:rFonts w:ascii="Arial"/>
                <w:b/>
                <w:sz w:val="28"/>
              </w:rPr>
            </w:pPr>
            <w:r>
              <w:rPr>
                <w:rFonts w:ascii="Arial"/>
                <w:b/>
                <w:spacing w:val="-5"/>
                <w:sz w:val="28"/>
              </w:rPr>
              <w:t>1.0</w:t>
            </w:r>
          </w:p>
        </w:tc>
        <w:tc>
          <w:tcPr>
            <w:tcW w:w="8441" w:type="dxa"/>
          </w:tcPr>
          <w:p>
            <w:pPr>
              <w:pStyle w:val="TableParagraph"/>
              <w:spacing w:line="314" w:lineRule="exact"/>
              <w:ind w:left="246"/>
              <w:rPr>
                <w:rFonts w:ascii="Arial"/>
                <w:b/>
                <w:sz w:val="28"/>
              </w:rPr>
            </w:pPr>
            <w:r>
              <w:rPr>
                <w:rFonts w:ascii="Arial"/>
                <w:b/>
                <w:spacing w:val="-2"/>
                <w:sz w:val="28"/>
              </w:rPr>
              <w:t>Introduction</w:t>
            </w:r>
          </w:p>
        </w:tc>
      </w:tr>
      <w:tr>
        <w:trPr>
          <w:trHeight w:val="2569" w:hRule="atLeast"/>
        </w:trPr>
        <w:tc>
          <w:tcPr>
            <w:tcW w:w="687" w:type="dxa"/>
          </w:tcPr>
          <w:p>
            <w:pPr>
              <w:pStyle w:val="TableParagraph"/>
              <w:spacing w:before="115"/>
              <w:ind w:left="50"/>
              <w:rPr>
                <w:rFonts w:ascii="Arial"/>
                <w:b/>
                <w:sz w:val="24"/>
              </w:rPr>
            </w:pPr>
            <w:r>
              <w:rPr>
                <w:rFonts w:ascii="Arial"/>
                <w:b/>
                <w:spacing w:val="-5"/>
                <w:sz w:val="24"/>
              </w:rPr>
              <w:t>1.1</w:t>
            </w:r>
          </w:p>
        </w:tc>
        <w:tc>
          <w:tcPr>
            <w:tcW w:w="8441" w:type="dxa"/>
          </w:tcPr>
          <w:p>
            <w:pPr>
              <w:pStyle w:val="TableParagraph"/>
              <w:spacing w:before="197"/>
              <w:ind w:left="246" w:right="50"/>
              <w:jc w:val="both"/>
              <w:rPr>
                <w:sz w:val="24"/>
              </w:rPr>
            </w:pPr>
            <w:r>
              <w:rPr>
                <w:sz w:val="24"/>
              </w:rPr>
              <w:t>Although the close monitoring and recording of patients physiological vital signs is paramount in the early detection of acute illness, this basic skill is often neglected by</w:t>
            </w:r>
            <w:r>
              <w:rPr>
                <w:spacing w:val="-2"/>
                <w:sz w:val="24"/>
              </w:rPr>
              <w:t> </w:t>
            </w:r>
            <w:r>
              <w:rPr>
                <w:sz w:val="24"/>
              </w:rPr>
              <w:t>health care workers. The National Institute</w:t>
            </w:r>
            <w:r>
              <w:rPr>
                <w:spacing w:val="-1"/>
                <w:sz w:val="24"/>
              </w:rPr>
              <w:t> </w:t>
            </w:r>
            <w:r>
              <w:rPr>
                <w:sz w:val="24"/>
              </w:rPr>
              <w:t>for</w:t>
            </w:r>
            <w:r>
              <w:rPr>
                <w:spacing w:val="-1"/>
                <w:sz w:val="24"/>
              </w:rPr>
              <w:t> </w:t>
            </w:r>
            <w:r>
              <w:rPr>
                <w:sz w:val="24"/>
              </w:rPr>
              <w:t>Health and Clinical Excellence (NICE CG50 2007)</w:t>
            </w:r>
            <w:r>
              <w:rPr>
                <w:sz w:val="24"/>
              </w:rPr>
              <w:t> has</w:t>
            </w:r>
            <w:r>
              <w:rPr>
                <w:sz w:val="24"/>
              </w:rPr>
              <w:t> produced</w:t>
            </w:r>
            <w:r>
              <w:rPr>
                <w:sz w:val="24"/>
              </w:rPr>
              <w:t> evidence</w:t>
            </w:r>
            <w:r>
              <w:rPr>
                <w:sz w:val="24"/>
              </w:rPr>
              <w:t> which suggests</w:t>
            </w:r>
            <w:r>
              <w:rPr>
                <w:sz w:val="24"/>
              </w:rPr>
              <w:t> that</w:t>
            </w:r>
            <w:r>
              <w:rPr>
                <w:sz w:val="24"/>
              </w:rPr>
              <w:t> patients who</w:t>
            </w:r>
            <w:r>
              <w:rPr>
                <w:sz w:val="24"/>
              </w:rPr>
              <w:t> are, or become acutely unwell in hospital may receive suboptimal care. This may be due to their deterioration not being recognised, or despite patients exhibiting signs of clinical deterioration it is sometimes not appreciated, or acted upon quickly enough.</w:t>
            </w:r>
          </w:p>
        </w:tc>
      </w:tr>
      <w:tr>
        <w:trPr>
          <w:trHeight w:val="1382" w:hRule="atLeast"/>
        </w:trPr>
        <w:tc>
          <w:tcPr>
            <w:tcW w:w="687" w:type="dxa"/>
          </w:tcPr>
          <w:p>
            <w:pPr>
              <w:pStyle w:val="TableParagraph"/>
              <w:spacing w:before="154"/>
              <w:ind w:left="50"/>
              <w:rPr>
                <w:rFonts w:ascii="Arial"/>
                <w:b/>
                <w:sz w:val="24"/>
              </w:rPr>
            </w:pPr>
            <w:r>
              <w:rPr>
                <w:rFonts w:ascii="Arial"/>
                <w:b/>
                <w:spacing w:val="-5"/>
                <w:sz w:val="24"/>
              </w:rPr>
              <w:t>1.2</w:t>
            </w:r>
          </w:p>
        </w:tc>
        <w:tc>
          <w:tcPr>
            <w:tcW w:w="8441" w:type="dxa"/>
          </w:tcPr>
          <w:p>
            <w:pPr>
              <w:pStyle w:val="TableParagraph"/>
              <w:spacing w:before="154"/>
              <w:ind w:left="246" w:right="55"/>
              <w:jc w:val="both"/>
              <w:rPr>
                <w:sz w:val="24"/>
              </w:rPr>
            </w:pPr>
            <w:r>
              <w:rPr>
                <w:sz w:val="24"/>
              </w:rPr>
              <w:t>NICE</w:t>
            </w:r>
            <w:r>
              <w:rPr>
                <w:sz w:val="24"/>
              </w:rPr>
              <w:t> also</w:t>
            </w:r>
            <w:r>
              <w:rPr>
                <w:sz w:val="24"/>
              </w:rPr>
              <w:t> highlight</w:t>
            </w:r>
            <w:r>
              <w:rPr>
                <w:sz w:val="24"/>
              </w:rPr>
              <w:t> that</w:t>
            </w:r>
            <w:r>
              <w:rPr>
                <w:sz w:val="24"/>
              </w:rPr>
              <w:t> communication</w:t>
            </w:r>
            <w:r>
              <w:rPr>
                <w:sz w:val="24"/>
              </w:rPr>
              <w:t> and</w:t>
            </w:r>
            <w:r>
              <w:rPr>
                <w:sz w:val="24"/>
              </w:rPr>
              <w:t> documentation</w:t>
            </w:r>
            <w:r>
              <w:rPr>
                <w:sz w:val="24"/>
              </w:rPr>
              <w:t> between</w:t>
            </w:r>
            <w:r>
              <w:rPr>
                <w:sz w:val="24"/>
              </w:rPr>
              <w:t> the multi-disciplinary</w:t>
            </w:r>
            <w:r>
              <w:rPr>
                <w:sz w:val="24"/>
              </w:rPr>
              <w:t> team</w:t>
            </w:r>
            <w:r>
              <w:rPr>
                <w:sz w:val="24"/>
              </w:rPr>
              <w:t> is</w:t>
            </w:r>
            <w:r>
              <w:rPr>
                <w:sz w:val="24"/>
              </w:rPr>
              <w:t> often</w:t>
            </w:r>
            <w:r>
              <w:rPr>
                <w:sz w:val="24"/>
              </w:rPr>
              <w:t> poor, experience might be lacking and provision of critical care expertise, including admission to critical care areas, </w:t>
            </w:r>
            <w:r>
              <w:rPr>
                <w:spacing w:val="-2"/>
                <w:sz w:val="24"/>
              </w:rPr>
              <w:t>delayed.</w:t>
            </w:r>
          </w:p>
        </w:tc>
      </w:tr>
      <w:tr>
        <w:trPr>
          <w:trHeight w:val="1740" w:hRule="atLeast"/>
        </w:trPr>
        <w:tc>
          <w:tcPr>
            <w:tcW w:w="687" w:type="dxa"/>
          </w:tcPr>
          <w:p>
            <w:pPr>
              <w:pStyle w:val="TableParagraph"/>
              <w:spacing w:before="116"/>
              <w:ind w:left="50"/>
              <w:rPr>
                <w:rFonts w:ascii="Arial"/>
                <w:b/>
                <w:sz w:val="24"/>
              </w:rPr>
            </w:pPr>
            <w:r>
              <w:rPr>
                <w:rFonts w:ascii="Arial"/>
                <w:b/>
                <w:spacing w:val="-5"/>
                <w:sz w:val="24"/>
              </w:rPr>
              <w:t>1.3</w:t>
            </w:r>
          </w:p>
        </w:tc>
        <w:tc>
          <w:tcPr>
            <w:tcW w:w="8441" w:type="dxa"/>
          </w:tcPr>
          <w:p>
            <w:pPr>
              <w:pStyle w:val="TableParagraph"/>
              <w:spacing w:before="197"/>
              <w:ind w:left="246" w:right="52"/>
              <w:jc w:val="both"/>
              <w:rPr>
                <w:sz w:val="24"/>
              </w:rPr>
            </w:pPr>
            <w:r>
              <w:rPr>
                <w:sz w:val="24"/>
              </w:rPr>
              <w:t>This policy states the minimum standards required from clinical staff that record and document adult patient physiological vital signs. Patients admitted to the Foundation Trust will feel confident that if they are acutely unwell or their condition deteriorates, they are in the best place to receive prompt, effective and safe care.</w:t>
            </w:r>
          </w:p>
        </w:tc>
      </w:tr>
      <w:tr>
        <w:trPr>
          <w:trHeight w:val="720" w:hRule="atLeast"/>
        </w:trPr>
        <w:tc>
          <w:tcPr>
            <w:tcW w:w="687" w:type="dxa"/>
          </w:tcPr>
          <w:p>
            <w:pPr>
              <w:pStyle w:val="TableParagraph"/>
              <w:spacing w:before="154"/>
              <w:ind w:left="50"/>
              <w:rPr>
                <w:rFonts w:ascii="Arial"/>
                <w:b/>
                <w:sz w:val="28"/>
              </w:rPr>
            </w:pPr>
            <w:r>
              <w:rPr>
                <w:rFonts w:ascii="Arial"/>
                <w:b/>
                <w:spacing w:val="-5"/>
                <w:sz w:val="28"/>
              </w:rPr>
              <w:t>2.0</w:t>
            </w:r>
          </w:p>
        </w:tc>
        <w:tc>
          <w:tcPr>
            <w:tcW w:w="8441" w:type="dxa"/>
          </w:tcPr>
          <w:p>
            <w:pPr>
              <w:pStyle w:val="TableParagraph"/>
              <w:spacing w:before="234"/>
              <w:ind w:left="246"/>
              <w:rPr>
                <w:rFonts w:ascii="Arial"/>
                <w:b/>
                <w:sz w:val="28"/>
              </w:rPr>
            </w:pPr>
            <w:r>
              <w:rPr>
                <w:rFonts w:ascii="Arial"/>
                <w:b/>
                <w:spacing w:val="-2"/>
                <w:sz w:val="28"/>
              </w:rPr>
              <w:t>Purpose</w:t>
            </w:r>
          </w:p>
        </w:tc>
      </w:tr>
      <w:tr>
        <w:trPr>
          <w:trHeight w:val="6143" w:hRule="atLeast"/>
        </w:trPr>
        <w:tc>
          <w:tcPr>
            <w:tcW w:w="687" w:type="dxa"/>
          </w:tcPr>
          <w:p>
            <w:pPr>
              <w:pStyle w:val="TableParagraph"/>
              <w:spacing w:before="156"/>
              <w:ind w:left="50"/>
              <w:rPr>
                <w:rFonts w:ascii="Arial"/>
                <w:b/>
                <w:sz w:val="24"/>
              </w:rPr>
            </w:pPr>
            <w:r>
              <w:rPr>
                <w:rFonts w:ascii="Arial"/>
                <w:b/>
                <w:spacing w:val="-5"/>
                <w:sz w:val="24"/>
              </w:rPr>
              <w:t>2.1</w:t>
            </w:r>
          </w:p>
        </w:tc>
        <w:tc>
          <w:tcPr>
            <w:tcW w:w="8441" w:type="dxa"/>
          </w:tcPr>
          <w:p>
            <w:pPr>
              <w:pStyle w:val="TableParagraph"/>
              <w:spacing w:before="238"/>
              <w:ind w:left="246" w:right="47"/>
              <w:jc w:val="both"/>
              <w:rPr>
                <w:sz w:val="24"/>
              </w:rPr>
            </w:pPr>
            <w:r>
              <w:rPr>
                <w:sz w:val="24"/>
              </w:rPr>
              <w:t>The purpose of this policy is to outline the minimum standard expected from all clinical professionals in the routine monitoring and recording of adult physiological vital signs when a clinical decision has been made to admit to The Foundation Trust. Practitioners are also directed to additional standards and parameters that may apply in specific clinical circumstances in addition to</w:t>
            </w:r>
            <w:r>
              <w:rPr>
                <w:spacing w:val="-1"/>
                <w:sz w:val="24"/>
              </w:rPr>
              <w:t> </w:t>
            </w:r>
            <w:r>
              <w:rPr>
                <w:sz w:val="24"/>
              </w:rPr>
              <w:t>routine</w:t>
            </w:r>
            <w:r>
              <w:rPr>
                <w:spacing w:val="-1"/>
                <w:sz w:val="24"/>
              </w:rPr>
              <w:t> </w:t>
            </w:r>
            <w:r>
              <w:rPr>
                <w:sz w:val="24"/>
              </w:rPr>
              <w:t>monitoring. However,</w:t>
            </w:r>
            <w:r>
              <w:rPr>
                <w:spacing w:val="-2"/>
                <w:sz w:val="24"/>
              </w:rPr>
              <w:t> </w:t>
            </w:r>
            <w:r>
              <w:rPr>
                <w:sz w:val="24"/>
              </w:rPr>
              <w:t>to</w:t>
            </w:r>
            <w:r>
              <w:rPr>
                <w:spacing w:val="-1"/>
                <w:sz w:val="24"/>
              </w:rPr>
              <w:t> </w:t>
            </w:r>
            <w:r>
              <w:rPr>
                <w:sz w:val="24"/>
              </w:rPr>
              <w:t>discuss</w:t>
            </w:r>
            <w:r>
              <w:rPr>
                <w:spacing w:val="-1"/>
                <w:sz w:val="24"/>
              </w:rPr>
              <w:t> </w:t>
            </w:r>
            <w:r>
              <w:rPr>
                <w:sz w:val="24"/>
              </w:rPr>
              <w:t>all</w:t>
            </w:r>
            <w:r>
              <w:rPr>
                <w:spacing w:val="-3"/>
                <w:sz w:val="24"/>
              </w:rPr>
              <w:t> </w:t>
            </w:r>
            <w:r>
              <w:rPr>
                <w:sz w:val="24"/>
              </w:rPr>
              <w:t>possible</w:t>
            </w:r>
            <w:r>
              <w:rPr>
                <w:spacing w:val="-1"/>
                <w:sz w:val="24"/>
              </w:rPr>
              <w:t> </w:t>
            </w:r>
            <w:r>
              <w:rPr>
                <w:sz w:val="24"/>
              </w:rPr>
              <w:t>clinical</w:t>
            </w:r>
            <w:r>
              <w:rPr>
                <w:spacing w:val="-2"/>
                <w:sz w:val="24"/>
              </w:rPr>
              <w:t> </w:t>
            </w:r>
            <w:r>
              <w:rPr>
                <w:sz w:val="24"/>
              </w:rPr>
              <w:t>circumstances is beyond the scope of this policy and the frequency of observations may differ in some patients and locally agreed guidelines should be followed in these instances.</w:t>
            </w:r>
          </w:p>
          <w:p>
            <w:pPr>
              <w:pStyle w:val="TableParagraph"/>
              <w:spacing w:before="201"/>
              <w:ind w:left="246"/>
              <w:jc w:val="both"/>
              <w:rPr>
                <w:sz w:val="24"/>
              </w:rPr>
            </w:pPr>
            <w:r>
              <w:rPr>
                <w:sz w:val="24"/>
              </w:rPr>
              <w:t>For</w:t>
            </w:r>
            <w:r>
              <w:rPr>
                <w:spacing w:val="-2"/>
                <w:sz w:val="24"/>
              </w:rPr>
              <w:t> example;</w:t>
            </w:r>
          </w:p>
          <w:p>
            <w:pPr>
              <w:pStyle w:val="TableParagraph"/>
              <w:numPr>
                <w:ilvl w:val="0"/>
                <w:numId w:val="1"/>
              </w:numPr>
              <w:tabs>
                <w:tab w:pos="678" w:val="left" w:leader="none"/>
              </w:tabs>
              <w:spacing w:line="240" w:lineRule="auto" w:before="198" w:after="0"/>
              <w:ind w:left="678" w:right="0" w:hanging="360"/>
              <w:jc w:val="left"/>
              <w:rPr>
                <w:sz w:val="24"/>
              </w:rPr>
            </w:pPr>
            <w:r>
              <w:rPr>
                <w:sz w:val="24"/>
              </w:rPr>
              <w:t>patients</w:t>
            </w:r>
            <w:r>
              <w:rPr>
                <w:spacing w:val="-2"/>
                <w:sz w:val="24"/>
              </w:rPr>
              <w:t> </w:t>
            </w:r>
            <w:r>
              <w:rPr>
                <w:sz w:val="24"/>
              </w:rPr>
              <w:t>during</w:t>
            </w:r>
            <w:r>
              <w:rPr>
                <w:spacing w:val="-4"/>
                <w:sz w:val="24"/>
              </w:rPr>
              <w:t> </w:t>
            </w:r>
            <w:r>
              <w:rPr>
                <w:sz w:val="24"/>
              </w:rPr>
              <w:t>the</w:t>
            </w:r>
            <w:r>
              <w:rPr>
                <w:spacing w:val="-1"/>
                <w:sz w:val="24"/>
              </w:rPr>
              <w:t> </w:t>
            </w:r>
            <w:r>
              <w:rPr>
                <w:sz w:val="24"/>
              </w:rPr>
              <w:t>first</w:t>
            </w:r>
            <w:r>
              <w:rPr>
                <w:spacing w:val="-4"/>
                <w:sz w:val="24"/>
              </w:rPr>
              <w:t> </w:t>
            </w:r>
            <w:r>
              <w:rPr>
                <w:sz w:val="24"/>
              </w:rPr>
              <w:t>24</w:t>
            </w:r>
            <w:r>
              <w:rPr>
                <w:spacing w:val="-4"/>
                <w:sz w:val="24"/>
              </w:rPr>
              <w:t> </w:t>
            </w:r>
            <w:r>
              <w:rPr>
                <w:sz w:val="24"/>
              </w:rPr>
              <w:t>hours</w:t>
            </w:r>
            <w:r>
              <w:rPr>
                <w:spacing w:val="-5"/>
                <w:sz w:val="24"/>
              </w:rPr>
              <w:t> </w:t>
            </w:r>
            <w:r>
              <w:rPr>
                <w:sz w:val="24"/>
              </w:rPr>
              <w:t>of the</w:t>
            </w:r>
            <w:r>
              <w:rPr>
                <w:spacing w:val="-4"/>
                <w:sz w:val="24"/>
              </w:rPr>
              <w:t> </w:t>
            </w:r>
            <w:r>
              <w:rPr>
                <w:sz w:val="24"/>
              </w:rPr>
              <w:t>post</w:t>
            </w:r>
            <w:r>
              <w:rPr>
                <w:spacing w:val="-4"/>
                <w:sz w:val="24"/>
              </w:rPr>
              <w:t> </w:t>
            </w:r>
            <w:r>
              <w:rPr>
                <w:sz w:val="24"/>
              </w:rPr>
              <w:t>operative</w:t>
            </w:r>
            <w:r>
              <w:rPr>
                <w:spacing w:val="-2"/>
                <w:sz w:val="24"/>
              </w:rPr>
              <w:t> period</w:t>
            </w:r>
          </w:p>
          <w:p>
            <w:pPr>
              <w:pStyle w:val="TableParagraph"/>
              <w:numPr>
                <w:ilvl w:val="0"/>
                <w:numId w:val="1"/>
              </w:numPr>
              <w:tabs>
                <w:tab w:pos="678" w:val="left" w:leader="none"/>
              </w:tabs>
              <w:spacing w:line="240" w:lineRule="auto" w:before="0" w:after="0"/>
              <w:ind w:left="678" w:right="0" w:hanging="360"/>
              <w:jc w:val="left"/>
              <w:rPr>
                <w:sz w:val="24"/>
              </w:rPr>
            </w:pPr>
            <w:r>
              <w:rPr>
                <w:sz w:val="24"/>
              </w:rPr>
              <w:t>patients</w:t>
            </w:r>
            <w:r>
              <w:rPr>
                <w:spacing w:val="-4"/>
                <w:sz w:val="24"/>
              </w:rPr>
              <w:t> </w:t>
            </w:r>
            <w:r>
              <w:rPr>
                <w:sz w:val="24"/>
              </w:rPr>
              <w:t>on</w:t>
            </w:r>
            <w:r>
              <w:rPr>
                <w:spacing w:val="-4"/>
                <w:sz w:val="24"/>
              </w:rPr>
              <w:t> </w:t>
            </w:r>
            <w:r>
              <w:rPr>
                <w:sz w:val="24"/>
              </w:rPr>
              <w:t>transfusions</w:t>
            </w:r>
            <w:r>
              <w:rPr>
                <w:spacing w:val="-4"/>
                <w:sz w:val="24"/>
              </w:rPr>
              <w:t> </w:t>
            </w:r>
            <w:r>
              <w:rPr>
                <w:sz w:val="24"/>
              </w:rPr>
              <w:t>of</w:t>
            </w:r>
            <w:r>
              <w:rPr>
                <w:spacing w:val="-3"/>
                <w:sz w:val="24"/>
              </w:rPr>
              <w:t> </w:t>
            </w:r>
            <w:r>
              <w:rPr>
                <w:sz w:val="24"/>
              </w:rPr>
              <w:t>blood</w:t>
            </w:r>
            <w:r>
              <w:rPr>
                <w:spacing w:val="-5"/>
                <w:sz w:val="24"/>
              </w:rPr>
              <w:t> </w:t>
            </w:r>
            <w:r>
              <w:rPr>
                <w:spacing w:val="-2"/>
                <w:sz w:val="24"/>
              </w:rPr>
              <w:t>products</w:t>
            </w:r>
          </w:p>
          <w:p>
            <w:pPr>
              <w:pStyle w:val="TableParagraph"/>
              <w:numPr>
                <w:ilvl w:val="0"/>
                <w:numId w:val="1"/>
              </w:numPr>
              <w:tabs>
                <w:tab w:pos="678" w:val="left" w:leader="none"/>
              </w:tabs>
              <w:spacing w:line="240" w:lineRule="auto" w:before="0" w:after="0"/>
              <w:ind w:left="678" w:right="501" w:hanging="360"/>
              <w:jc w:val="left"/>
              <w:rPr>
                <w:sz w:val="24"/>
              </w:rPr>
            </w:pPr>
            <w:r>
              <w:rPr>
                <w:sz w:val="24"/>
              </w:rPr>
              <w:t>patients</w:t>
            </w:r>
            <w:r>
              <w:rPr>
                <w:spacing w:val="-4"/>
                <w:sz w:val="24"/>
              </w:rPr>
              <w:t> </w:t>
            </w:r>
            <w:r>
              <w:rPr>
                <w:sz w:val="24"/>
              </w:rPr>
              <w:t>with</w:t>
            </w:r>
            <w:r>
              <w:rPr>
                <w:spacing w:val="-4"/>
                <w:sz w:val="24"/>
              </w:rPr>
              <w:t> </w:t>
            </w:r>
            <w:r>
              <w:rPr>
                <w:sz w:val="24"/>
              </w:rPr>
              <w:t>any</w:t>
            </w:r>
            <w:r>
              <w:rPr>
                <w:spacing w:val="-7"/>
                <w:sz w:val="24"/>
              </w:rPr>
              <w:t> </w:t>
            </w:r>
            <w:r>
              <w:rPr>
                <w:sz w:val="24"/>
              </w:rPr>
              <w:t>type</w:t>
            </w:r>
            <w:r>
              <w:rPr>
                <w:spacing w:val="-4"/>
                <w:sz w:val="24"/>
              </w:rPr>
              <w:t> </w:t>
            </w:r>
            <w:r>
              <w:rPr>
                <w:sz w:val="24"/>
              </w:rPr>
              <w:t>of analgesia</w:t>
            </w:r>
            <w:r>
              <w:rPr>
                <w:spacing w:val="-4"/>
                <w:sz w:val="24"/>
              </w:rPr>
              <w:t> </w:t>
            </w:r>
            <w:r>
              <w:rPr>
                <w:sz w:val="24"/>
              </w:rPr>
              <w:t>infusions</w:t>
            </w:r>
            <w:r>
              <w:rPr>
                <w:spacing w:val="-4"/>
                <w:sz w:val="24"/>
              </w:rPr>
              <w:t> </w:t>
            </w:r>
            <w:r>
              <w:rPr>
                <w:sz w:val="24"/>
              </w:rPr>
              <w:t>(</w:t>
            </w:r>
            <w:r>
              <w:rPr>
                <w:spacing w:val="-7"/>
                <w:sz w:val="24"/>
              </w:rPr>
              <w:t> </w:t>
            </w:r>
            <w:r>
              <w:rPr>
                <w:sz w:val="24"/>
              </w:rPr>
              <w:t>for</w:t>
            </w:r>
            <w:r>
              <w:rPr>
                <w:spacing w:val="-4"/>
                <w:sz w:val="24"/>
              </w:rPr>
              <w:t> </w:t>
            </w:r>
            <w:r>
              <w:rPr>
                <w:sz w:val="24"/>
              </w:rPr>
              <w:t>example</w:t>
            </w:r>
            <w:r>
              <w:rPr>
                <w:spacing w:val="-4"/>
                <w:sz w:val="24"/>
              </w:rPr>
              <w:t> </w:t>
            </w:r>
            <w:r>
              <w:rPr>
                <w:sz w:val="24"/>
              </w:rPr>
              <w:t>epidurals, PCAs etc)</w:t>
            </w:r>
          </w:p>
          <w:p>
            <w:pPr>
              <w:pStyle w:val="TableParagraph"/>
              <w:numPr>
                <w:ilvl w:val="0"/>
                <w:numId w:val="1"/>
              </w:numPr>
              <w:tabs>
                <w:tab w:pos="678" w:val="left" w:leader="none"/>
              </w:tabs>
              <w:spacing w:line="240" w:lineRule="auto" w:before="0" w:after="0"/>
              <w:ind w:left="678" w:right="0" w:hanging="360"/>
              <w:jc w:val="left"/>
              <w:rPr>
                <w:sz w:val="24"/>
              </w:rPr>
            </w:pPr>
            <w:r>
              <w:rPr>
                <w:sz w:val="24"/>
              </w:rPr>
              <w:t>patients</w:t>
            </w:r>
            <w:r>
              <w:rPr>
                <w:spacing w:val="-6"/>
                <w:sz w:val="24"/>
              </w:rPr>
              <w:t> </w:t>
            </w:r>
            <w:r>
              <w:rPr>
                <w:sz w:val="24"/>
              </w:rPr>
              <w:t>on</w:t>
            </w:r>
            <w:r>
              <w:rPr>
                <w:spacing w:val="-4"/>
                <w:sz w:val="24"/>
              </w:rPr>
              <w:t> </w:t>
            </w:r>
            <w:r>
              <w:rPr>
                <w:sz w:val="24"/>
              </w:rPr>
              <w:t>drug</w:t>
            </w:r>
            <w:r>
              <w:rPr>
                <w:spacing w:val="-6"/>
                <w:sz w:val="24"/>
              </w:rPr>
              <w:t> </w:t>
            </w:r>
            <w:r>
              <w:rPr>
                <w:sz w:val="24"/>
              </w:rPr>
              <w:t>infusions</w:t>
            </w:r>
            <w:r>
              <w:rPr>
                <w:spacing w:val="-4"/>
                <w:sz w:val="24"/>
              </w:rPr>
              <w:t> </w:t>
            </w:r>
            <w:r>
              <w:rPr>
                <w:sz w:val="24"/>
              </w:rPr>
              <w:t>requiring</w:t>
            </w:r>
            <w:r>
              <w:rPr>
                <w:spacing w:val="-5"/>
                <w:sz w:val="24"/>
              </w:rPr>
              <w:t> </w:t>
            </w:r>
            <w:r>
              <w:rPr>
                <w:sz w:val="24"/>
              </w:rPr>
              <w:t>specific</w:t>
            </w:r>
            <w:r>
              <w:rPr>
                <w:spacing w:val="-3"/>
                <w:sz w:val="24"/>
              </w:rPr>
              <w:t> </w:t>
            </w:r>
            <w:r>
              <w:rPr>
                <w:spacing w:val="-2"/>
                <w:sz w:val="24"/>
              </w:rPr>
              <w:t>observations</w:t>
            </w:r>
          </w:p>
          <w:p>
            <w:pPr>
              <w:pStyle w:val="TableParagraph"/>
              <w:numPr>
                <w:ilvl w:val="0"/>
                <w:numId w:val="1"/>
              </w:numPr>
              <w:tabs>
                <w:tab w:pos="678" w:val="left" w:leader="none"/>
              </w:tabs>
              <w:spacing w:line="240" w:lineRule="auto" w:before="0" w:after="0"/>
              <w:ind w:left="678" w:right="0" w:hanging="360"/>
              <w:jc w:val="left"/>
              <w:rPr>
                <w:sz w:val="24"/>
              </w:rPr>
            </w:pPr>
            <w:r>
              <w:rPr>
                <w:sz w:val="24"/>
              </w:rPr>
              <w:t>patients</w:t>
            </w:r>
            <w:r>
              <w:rPr>
                <w:spacing w:val="-6"/>
                <w:sz w:val="24"/>
              </w:rPr>
              <w:t> </w:t>
            </w:r>
            <w:r>
              <w:rPr>
                <w:sz w:val="24"/>
              </w:rPr>
              <w:t>nursed</w:t>
            </w:r>
            <w:r>
              <w:rPr>
                <w:spacing w:val="-5"/>
                <w:sz w:val="24"/>
              </w:rPr>
              <w:t> </w:t>
            </w:r>
            <w:r>
              <w:rPr>
                <w:sz w:val="24"/>
              </w:rPr>
              <w:t>within</w:t>
            </w:r>
            <w:r>
              <w:rPr>
                <w:spacing w:val="-6"/>
                <w:sz w:val="24"/>
              </w:rPr>
              <w:t> </w:t>
            </w:r>
            <w:r>
              <w:rPr>
                <w:spacing w:val="-2"/>
                <w:sz w:val="24"/>
              </w:rPr>
              <w:t>Theatres</w:t>
            </w:r>
          </w:p>
          <w:p>
            <w:pPr>
              <w:pStyle w:val="TableParagraph"/>
              <w:numPr>
                <w:ilvl w:val="0"/>
                <w:numId w:val="1"/>
              </w:numPr>
              <w:tabs>
                <w:tab w:pos="678" w:val="left" w:leader="none"/>
              </w:tabs>
              <w:spacing w:line="240" w:lineRule="auto" w:before="0" w:after="0"/>
              <w:ind w:left="678" w:right="0" w:hanging="360"/>
              <w:jc w:val="left"/>
              <w:rPr>
                <w:sz w:val="24"/>
              </w:rPr>
            </w:pPr>
            <w:r>
              <w:rPr>
                <w:sz w:val="24"/>
              </w:rPr>
              <w:t>patients</w:t>
            </w:r>
            <w:r>
              <w:rPr>
                <w:spacing w:val="-5"/>
                <w:sz w:val="24"/>
              </w:rPr>
              <w:t> </w:t>
            </w:r>
            <w:r>
              <w:rPr>
                <w:sz w:val="24"/>
              </w:rPr>
              <w:t>nursed</w:t>
            </w:r>
            <w:r>
              <w:rPr>
                <w:spacing w:val="-5"/>
                <w:sz w:val="24"/>
              </w:rPr>
              <w:t> </w:t>
            </w:r>
            <w:r>
              <w:rPr>
                <w:sz w:val="24"/>
              </w:rPr>
              <w:t>in</w:t>
            </w:r>
            <w:r>
              <w:rPr>
                <w:spacing w:val="-5"/>
                <w:sz w:val="24"/>
              </w:rPr>
              <w:t> </w:t>
            </w:r>
            <w:r>
              <w:rPr>
                <w:sz w:val="24"/>
              </w:rPr>
              <w:t>a</w:t>
            </w:r>
            <w:r>
              <w:rPr>
                <w:spacing w:val="-4"/>
                <w:sz w:val="24"/>
              </w:rPr>
              <w:t> </w:t>
            </w:r>
            <w:r>
              <w:rPr>
                <w:sz w:val="24"/>
              </w:rPr>
              <w:t>level</w:t>
            </w:r>
            <w:r>
              <w:rPr>
                <w:spacing w:val="-5"/>
                <w:sz w:val="24"/>
              </w:rPr>
              <w:t> </w:t>
            </w:r>
            <w:r>
              <w:rPr>
                <w:sz w:val="24"/>
              </w:rPr>
              <w:t>2/3</w:t>
            </w:r>
            <w:r>
              <w:rPr>
                <w:spacing w:val="-4"/>
                <w:sz w:val="24"/>
              </w:rPr>
              <w:t> </w:t>
            </w:r>
            <w:r>
              <w:rPr>
                <w:sz w:val="24"/>
              </w:rPr>
              <w:t>(Critical</w:t>
            </w:r>
            <w:r>
              <w:rPr>
                <w:spacing w:val="-4"/>
                <w:sz w:val="24"/>
              </w:rPr>
              <w:t> </w:t>
            </w:r>
            <w:r>
              <w:rPr>
                <w:sz w:val="24"/>
              </w:rPr>
              <w:t>Care)</w:t>
            </w:r>
            <w:r>
              <w:rPr>
                <w:spacing w:val="-6"/>
                <w:sz w:val="24"/>
              </w:rPr>
              <w:t> </w:t>
            </w:r>
            <w:r>
              <w:rPr>
                <w:spacing w:val="-5"/>
                <w:sz w:val="24"/>
              </w:rPr>
              <w:t>bed</w:t>
            </w:r>
          </w:p>
          <w:p>
            <w:pPr>
              <w:pStyle w:val="TableParagraph"/>
              <w:numPr>
                <w:ilvl w:val="0"/>
                <w:numId w:val="1"/>
              </w:numPr>
              <w:tabs>
                <w:tab w:pos="678" w:val="left" w:leader="none"/>
              </w:tabs>
              <w:spacing w:line="240" w:lineRule="auto" w:before="0" w:after="0"/>
              <w:ind w:left="678" w:right="0" w:hanging="360"/>
              <w:jc w:val="left"/>
              <w:rPr>
                <w:sz w:val="24"/>
              </w:rPr>
            </w:pPr>
            <w:r>
              <w:rPr>
                <w:spacing w:val="-2"/>
                <w:sz w:val="24"/>
              </w:rPr>
              <w:t>Maternity</w:t>
            </w:r>
          </w:p>
          <w:p>
            <w:pPr>
              <w:pStyle w:val="TableParagraph"/>
              <w:numPr>
                <w:ilvl w:val="0"/>
                <w:numId w:val="1"/>
              </w:numPr>
              <w:tabs>
                <w:tab w:pos="678" w:val="left" w:leader="none"/>
              </w:tabs>
              <w:spacing w:line="240" w:lineRule="auto" w:before="0" w:after="0"/>
              <w:ind w:left="678" w:right="0" w:hanging="360"/>
              <w:jc w:val="left"/>
              <w:rPr>
                <w:sz w:val="24"/>
              </w:rPr>
            </w:pPr>
            <w:r>
              <w:rPr>
                <w:spacing w:val="-2"/>
                <w:sz w:val="24"/>
              </w:rPr>
              <w:t>Paediatrics</w:t>
            </w:r>
          </w:p>
        </w:tc>
      </w:tr>
      <w:tr>
        <w:trPr>
          <w:trHeight w:val="653" w:hRule="atLeast"/>
        </w:trPr>
        <w:tc>
          <w:tcPr>
            <w:tcW w:w="687" w:type="dxa"/>
          </w:tcPr>
          <w:p>
            <w:pPr>
              <w:pStyle w:val="TableParagraph"/>
              <w:spacing w:before="254"/>
              <w:ind w:left="50"/>
              <w:rPr>
                <w:rFonts w:ascii="Arial"/>
                <w:b/>
                <w:sz w:val="28"/>
              </w:rPr>
            </w:pPr>
            <w:r>
              <w:rPr>
                <w:rFonts w:ascii="Arial"/>
                <w:b/>
                <w:spacing w:val="-5"/>
                <w:sz w:val="28"/>
              </w:rPr>
              <w:t>3.0</w:t>
            </w:r>
          </w:p>
        </w:tc>
        <w:tc>
          <w:tcPr>
            <w:tcW w:w="8441" w:type="dxa"/>
          </w:tcPr>
          <w:p>
            <w:pPr>
              <w:pStyle w:val="TableParagraph"/>
              <w:spacing w:before="9"/>
              <w:rPr>
                <w:rFonts w:ascii="Arial"/>
                <w:b/>
                <w:sz w:val="28"/>
              </w:rPr>
            </w:pPr>
          </w:p>
          <w:p>
            <w:pPr>
              <w:pStyle w:val="TableParagraph"/>
              <w:spacing w:line="302" w:lineRule="exact"/>
              <w:ind w:left="246"/>
              <w:rPr>
                <w:rFonts w:ascii="Arial"/>
                <w:b/>
                <w:sz w:val="28"/>
              </w:rPr>
            </w:pPr>
            <w:r>
              <w:rPr>
                <w:rFonts w:ascii="Arial"/>
                <w:b/>
                <w:spacing w:val="-2"/>
                <w:sz w:val="28"/>
              </w:rPr>
              <w:t>Duties</w:t>
            </w:r>
          </w:p>
        </w:tc>
      </w:tr>
    </w:tbl>
    <w:p>
      <w:pPr>
        <w:pStyle w:val="TableParagraph"/>
        <w:spacing w:after="0" w:line="302" w:lineRule="exact"/>
        <w:rPr>
          <w:rFonts w:ascii="Arial"/>
          <w:b/>
          <w:sz w:val="28"/>
        </w:rPr>
        <w:sectPr>
          <w:pgSz w:w="11910" w:h="16840"/>
          <w:pgMar w:header="0" w:footer="955" w:top="1320" w:bottom="1140" w:left="425" w:right="566"/>
        </w:sectPr>
      </w:pPr>
    </w:p>
    <w:p>
      <w:pPr>
        <w:pStyle w:val="BodyText"/>
        <w:spacing w:before="3"/>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
        <w:gridCol w:w="8371"/>
      </w:tblGrid>
      <w:tr>
        <w:trPr>
          <w:trHeight w:val="518" w:hRule="atLeast"/>
        </w:trPr>
        <w:tc>
          <w:tcPr>
            <w:tcW w:w="758" w:type="dxa"/>
          </w:tcPr>
          <w:p>
            <w:pPr>
              <w:pStyle w:val="TableParagraph"/>
              <w:spacing w:line="314" w:lineRule="exact"/>
              <w:ind w:left="50"/>
              <w:rPr>
                <w:rFonts w:ascii="Arial"/>
                <w:b/>
                <w:sz w:val="28"/>
              </w:rPr>
            </w:pPr>
            <w:r>
              <w:rPr>
                <w:rFonts w:ascii="Arial"/>
                <w:b/>
                <w:spacing w:val="-5"/>
                <w:sz w:val="28"/>
              </w:rPr>
              <w:t>3.1</w:t>
            </w:r>
          </w:p>
        </w:tc>
        <w:tc>
          <w:tcPr>
            <w:tcW w:w="8371" w:type="dxa"/>
          </w:tcPr>
          <w:p>
            <w:pPr>
              <w:pStyle w:val="TableParagraph"/>
              <w:spacing w:before="73"/>
              <w:ind w:left="175"/>
              <w:rPr>
                <w:rFonts w:ascii="Arial"/>
                <w:b/>
                <w:sz w:val="28"/>
              </w:rPr>
            </w:pPr>
            <w:r>
              <w:rPr>
                <w:rFonts w:ascii="Arial"/>
                <w:b/>
                <w:sz w:val="28"/>
              </w:rPr>
              <w:t>Duties</w:t>
            </w:r>
            <w:r>
              <w:rPr>
                <w:rFonts w:ascii="Arial"/>
                <w:b/>
                <w:spacing w:val="-6"/>
                <w:sz w:val="28"/>
              </w:rPr>
              <w:t> </w:t>
            </w:r>
            <w:r>
              <w:rPr>
                <w:rFonts w:ascii="Arial"/>
                <w:b/>
                <w:sz w:val="28"/>
              </w:rPr>
              <w:t>within</w:t>
            </w:r>
            <w:r>
              <w:rPr>
                <w:rFonts w:ascii="Arial"/>
                <w:b/>
                <w:spacing w:val="-4"/>
                <w:sz w:val="28"/>
              </w:rPr>
              <w:t> </w:t>
            </w:r>
            <w:r>
              <w:rPr>
                <w:rFonts w:ascii="Arial"/>
                <w:b/>
                <w:sz w:val="28"/>
              </w:rPr>
              <w:t>the</w:t>
            </w:r>
            <w:r>
              <w:rPr>
                <w:rFonts w:ascii="Arial"/>
                <w:b/>
                <w:spacing w:val="-3"/>
                <w:sz w:val="28"/>
              </w:rPr>
              <w:t> </w:t>
            </w:r>
            <w:r>
              <w:rPr>
                <w:rFonts w:ascii="Arial"/>
                <w:b/>
                <w:spacing w:val="-2"/>
                <w:sz w:val="28"/>
              </w:rPr>
              <w:t>Organisation</w:t>
            </w:r>
          </w:p>
        </w:tc>
      </w:tr>
      <w:tr>
        <w:trPr>
          <w:trHeight w:val="1606" w:hRule="atLeast"/>
        </w:trPr>
        <w:tc>
          <w:tcPr>
            <w:tcW w:w="758" w:type="dxa"/>
          </w:tcPr>
          <w:p>
            <w:pPr>
              <w:pStyle w:val="TableParagraph"/>
              <w:spacing w:before="154"/>
              <w:ind w:left="50"/>
              <w:rPr>
                <w:rFonts w:ascii="Arial"/>
                <w:b/>
                <w:sz w:val="24"/>
              </w:rPr>
            </w:pPr>
            <w:r>
              <w:rPr>
                <w:rFonts w:ascii="Arial"/>
                <w:b/>
                <w:spacing w:val="-2"/>
                <w:sz w:val="24"/>
              </w:rPr>
              <w:t>3.1.1</w:t>
            </w:r>
          </w:p>
        </w:tc>
        <w:tc>
          <w:tcPr>
            <w:tcW w:w="8371" w:type="dxa"/>
          </w:tcPr>
          <w:p>
            <w:pPr>
              <w:pStyle w:val="TableParagraph"/>
              <w:spacing w:before="115"/>
              <w:ind w:left="175" w:right="47"/>
              <w:jc w:val="both"/>
              <w:rPr>
                <w:sz w:val="22"/>
              </w:rPr>
            </w:pPr>
            <w:r>
              <w:rPr>
                <w:rFonts w:ascii="Arial"/>
                <w:b/>
                <w:sz w:val="24"/>
                <w:u w:val="single"/>
              </w:rPr>
              <w:t>Chief Executive and Board of Directors </w:t>
            </w:r>
            <w:r>
              <w:rPr>
                <w:sz w:val="22"/>
              </w:rPr>
              <w:t>have overall responsibility for ensuring the requirements within this policy are fulfilled and that all operational responsibilities are in place by carrying out an overview of significant risks via the Risk Advisory Committee. In addition appropriate equipment must be provided to enable clinical staff to take and record Adult Physiological Observations.</w:t>
            </w:r>
          </w:p>
        </w:tc>
      </w:tr>
      <w:tr>
        <w:trPr>
          <w:trHeight w:val="952" w:hRule="atLeast"/>
        </w:trPr>
        <w:tc>
          <w:tcPr>
            <w:tcW w:w="758" w:type="dxa"/>
          </w:tcPr>
          <w:p>
            <w:pPr>
              <w:pStyle w:val="TableParagraph"/>
              <w:spacing w:before="234"/>
              <w:ind w:left="50"/>
              <w:rPr>
                <w:rFonts w:ascii="Arial"/>
                <w:b/>
                <w:sz w:val="24"/>
              </w:rPr>
            </w:pPr>
            <w:r>
              <w:rPr>
                <w:rFonts w:ascii="Arial"/>
                <w:b/>
                <w:spacing w:val="-2"/>
                <w:sz w:val="24"/>
              </w:rPr>
              <w:t>3.1.2</w:t>
            </w:r>
          </w:p>
        </w:tc>
        <w:tc>
          <w:tcPr>
            <w:tcW w:w="8371" w:type="dxa"/>
          </w:tcPr>
          <w:p>
            <w:pPr>
              <w:pStyle w:val="TableParagraph"/>
              <w:spacing w:before="196"/>
              <w:ind w:left="175"/>
              <w:rPr>
                <w:sz w:val="24"/>
              </w:rPr>
            </w:pPr>
            <w:r>
              <w:rPr>
                <w:rFonts w:ascii="Arial"/>
                <w:b/>
                <w:sz w:val="24"/>
                <w:u w:val="single"/>
              </w:rPr>
              <w:t>The</w:t>
            </w:r>
            <w:r>
              <w:rPr>
                <w:rFonts w:ascii="Arial"/>
                <w:b/>
                <w:spacing w:val="80"/>
                <w:sz w:val="24"/>
                <w:u w:val="single"/>
              </w:rPr>
              <w:t> </w:t>
            </w:r>
            <w:r>
              <w:rPr>
                <w:rFonts w:ascii="Arial"/>
                <w:b/>
                <w:sz w:val="24"/>
                <w:u w:val="single"/>
              </w:rPr>
              <w:t>Executive</w:t>
            </w:r>
            <w:r>
              <w:rPr>
                <w:rFonts w:ascii="Arial"/>
                <w:b/>
                <w:spacing w:val="80"/>
                <w:sz w:val="24"/>
                <w:u w:val="single"/>
              </w:rPr>
              <w:t> </w:t>
            </w:r>
            <w:r>
              <w:rPr>
                <w:rFonts w:ascii="Arial"/>
                <w:b/>
                <w:sz w:val="24"/>
                <w:u w:val="single"/>
              </w:rPr>
              <w:t>Medical</w:t>
            </w:r>
            <w:r>
              <w:rPr>
                <w:rFonts w:ascii="Arial"/>
                <w:b/>
                <w:spacing w:val="80"/>
                <w:sz w:val="24"/>
                <w:u w:val="single"/>
              </w:rPr>
              <w:t> </w:t>
            </w:r>
            <w:r>
              <w:rPr>
                <w:rFonts w:ascii="Arial"/>
                <w:b/>
                <w:sz w:val="24"/>
                <w:u w:val="single"/>
              </w:rPr>
              <w:t>Director</w:t>
            </w:r>
            <w:r>
              <w:rPr>
                <w:rFonts w:ascii="Arial"/>
                <w:b/>
                <w:spacing w:val="80"/>
                <w:sz w:val="24"/>
                <w:u w:val="single"/>
              </w:rPr>
              <w:t> </w:t>
            </w:r>
            <w:r>
              <w:rPr>
                <w:sz w:val="24"/>
              </w:rPr>
              <w:t>is</w:t>
            </w:r>
            <w:r>
              <w:rPr>
                <w:spacing w:val="80"/>
                <w:sz w:val="24"/>
              </w:rPr>
              <w:t> </w:t>
            </w:r>
            <w:r>
              <w:rPr>
                <w:sz w:val="24"/>
              </w:rPr>
              <w:t>responsible</w:t>
            </w:r>
            <w:r>
              <w:rPr>
                <w:spacing w:val="80"/>
                <w:sz w:val="24"/>
              </w:rPr>
              <w:t> </w:t>
            </w:r>
            <w:r>
              <w:rPr>
                <w:sz w:val="24"/>
              </w:rPr>
              <w:t>for</w:t>
            </w:r>
            <w:r>
              <w:rPr>
                <w:spacing w:val="80"/>
                <w:sz w:val="24"/>
              </w:rPr>
              <w:t> </w:t>
            </w:r>
            <w:r>
              <w:rPr>
                <w:sz w:val="24"/>
              </w:rPr>
              <w:t>ensuring</w:t>
            </w:r>
            <w:r>
              <w:rPr>
                <w:spacing w:val="80"/>
                <w:sz w:val="24"/>
              </w:rPr>
              <w:t> </w:t>
            </w:r>
            <w:r>
              <w:rPr>
                <w:sz w:val="24"/>
              </w:rPr>
              <w:t>that</w:t>
            </w:r>
            <w:r>
              <w:rPr>
                <w:spacing w:val="80"/>
                <w:sz w:val="24"/>
              </w:rPr>
              <w:t> </w:t>
            </w:r>
            <w:r>
              <w:rPr>
                <w:sz w:val="24"/>
              </w:rPr>
              <w:t>the requirements set out in this Policy are fulfilled.</w:t>
            </w:r>
          </w:p>
        </w:tc>
      </w:tr>
      <w:tr>
        <w:trPr>
          <w:trHeight w:val="951" w:hRule="atLeast"/>
        </w:trPr>
        <w:tc>
          <w:tcPr>
            <w:tcW w:w="758" w:type="dxa"/>
          </w:tcPr>
          <w:p>
            <w:pPr>
              <w:pStyle w:val="TableParagraph"/>
              <w:spacing w:before="235"/>
              <w:ind w:left="50"/>
              <w:rPr>
                <w:rFonts w:ascii="Arial"/>
                <w:b/>
                <w:sz w:val="24"/>
              </w:rPr>
            </w:pPr>
            <w:r>
              <w:rPr>
                <w:rFonts w:ascii="Arial"/>
                <w:b/>
                <w:spacing w:val="-2"/>
                <w:sz w:val="24"/>
              </w:rPr>
              <w:t>3.1.3</w:t>
            </w:r>
          </w:p>
        </w:tc>
        <w:tc>
          <w:tcPr>
            <w:tcW w:w="8371" w:type="dxa"/>
          </w:tcPr>
          <w:p>
            <w:pPr>
              <w:pStyle w:val="TableParagraph"/>
              <w:spacing w:before="196"/>
              <w:ind w:left="175"/>
              <w:rPr>
                <w:sz w:val="24"/>
              </w:rPr>
            </w:pPr>
            <w:r>
              <w:rPr>
                <w:rFonts w:ascii="Arial"/>
                <w:b/>
                <w:sz w:val="24"/>
                <w:u w:val="single"/>
              </w:rPr>
              <w:t>Associate Director of Operations</w:t>
            </w:r>
            <w:r>
              <w:rPr>
                <w:rFonts w:ascii="Arial"/>
                <w:b/>
                <w:sz w:val="24"/>
              </w:rPr>
              <w:t> </w:t>
            </w:r>
            <w:r>
              <w:rPr>
                <w:sz w:val="24"/>
              </w:rPr>
              <w:t>will oversee the</w:t>
            </w:r>
            <w:r>
              <w:rPr>
                <w:spacing w:val="-1"/>
                <w:sz w:val="24"/>
              </w:rPr>
              <w:t> </w:t>
            </w:r>
            <w:r>
              <w:rPr>
                <w:sz w:val="24"/>
              </w:rPr>
              <w:t>application</w:t>
            </w:r>
            <w:r>
              <w:rPr>
                <w:spacing w:val="-1"/>
                <w:sz w:val="24"/>
              </w:rPr>
              <w:t> </w:t>
            </w:r>
            <w:r>
              <w:rPr>
                <w:sz w:val="24"/>
              </w:rPr>
              <w:t>of this Policy into the clinical practices of their services.</w:t>
            </w:r>
          </w:p>
        </w:tc>
      </w:tr>
      <w:tr>
        <w:trPr>
          <w:trHeight w:val="3043" w:hRule="atLeast"/>
        </w:trPr>
        <w:tc>
          <w:tcPr>
            <w:tcW w:w="758" w:type="dxa"/>
          </w:tcPr>
          <w:p>
            <w:pPr>
              <w:pStyle w:val="TableParagraph"/>
              <w:spacing w:before="234"/>
              <w:ind w:left="50"/>
              <w:rPr>
                <w:rFonts w:ascii="Arial"/>
                <w:b/>
                <w:sz w:val="24"/>
              </w:rPr>
            </w:pPr>
            <w:r>
              <w:rPr>
                <w:rFonts w:ascii="Arial"/>
                <w:b/>
                <w:spacing w:val="-2"/>
                <w:sz w:val="24"/>
              </w:rPr>
              <w:t>3.1.4</w:t>
            </w:r>
          </w:p>
        </w:tc>
        <w:tc>
          <w:tcPr>
            <w:tcW w:w="8371" w:type="dxa"/>
          </w:tcPr>
          <w:p>
            <w:pPr>
              <w:pStyle w:val="TableParagraph"/>
              <w:spacing w:before="195"/>
              <w:ind w:left="175" w:right="55"/>
              <w:jc w:val="both"/>
              <w:rPr>
                <w:sz w:val="24"/>
              </w:rPr>
            </w:pPr>
            <w:r>
              <w:rPr>
                <w:rFonts w:ascii="Arial"/>
                <w:b/>
                <w:sz w:val="24"/>
                <w:u w:val="single"/>
              </w:rPr>
              <w:t>Consultant </w:t>
            </w:r>
            <w:r>
              <w:rPr>
                <w:sz w:val="24"/>
              </w:rPr>
              <w:t>As the professional with the overall clinical responsibility for patients the Consultant will ensure that clinical standards are maintained</w:t>
            </w:r>
            <w:r>
              <w:rPr>
                <w:spacing w:val="40"/>
                <w:sz w:val="24"/>
              </w:rPr>
              <w:t> </w:t>
            </w:r>
            <w:r>
              <w:rPr>
                <w:sz w:val="24"/>
              </w:rPr>
              <w:t>and that any necessary deviation from this policy is documented and explained in the medical notes.</w:t>
            </w:r>
          </w:p>
          <w:p>
            <w:pPr>
              <w:pStyle w:val="TableParagraph"/>
              <w:spacing w:before="200"/>
              <w:ind w:left="175" w:right="56"/>
              <w:jc w:val="both"/>
              <w:rPr>
                <w:sz w:val="24"/>
              </w:rPr>
            </w:pPr>
            <w:r>
              <w:rPr>
                <w:sz w:val="24"/>
              </w:rPr>
              <w:t>The Consultant will supervise medical staff in training to ensure that all patients have a documented medical management plan including frequency of observations.</w:t>
            </w:r>
            <w:r>
              <w:rPr>
                <w:spacing w:val="40"/>
                <w:sz w:val="24"/>
              </w:rPr>
              <w:t> </w:t>
            </w:r>
            <w:r>
              <w:rPr>
                <w:sz w:val="24"/>
              </w:rPr>
              <w:t>The Consultant will be responsible for setting goals and acceptable parameters to guide other clinical staff in their role of monitoring, interpreting and acting upon abnormal parameters.</w:t>
            </w:r>
          </w:p>
        </w:tc>
      </w:tr>
      <w:tr>
        <w:trPr>
          <w:trHeight w:val="2587" w:hRule="atLeast"/>
        </w:trPr>
        <w:tc>
          <w:tcPr>
            <w:tcW w:w="758" w:type="dxa"/>
          </w:tcPr>
          <w:p>
            <w:pPr>
              <w:pStyle w:val="TableParagraph"/>
              <w:spacing w:before="274"/>
              <w:ind w:left="50"/>
              <w:rPr>
                <w:rFonts w:ascii="Arial"/>
                <w:b/>
                <w:sz w:val="24"/>
              </w:rPr>
            </w:pPr>
            <w:r>
              <w:rPr>
                <w:rFonts w:ascii="Arial"/>
                <w:b/>
                <w:spacing w:val="-2"/>
                <w:sz w:val="24"/>
              </w:rPr>
              <w:t>3.1.5</w:t>
            </w:r>
          </w:p>
        </w:tc>
        <w:tc>
          <w:tcPr>
            <w:tcW w:w="8371" w:type="dxa"/>
          </w:tcPr>
          <w:p>
            <w:pPr>
              <w:pStyle w:val="TableParagraph"/>
              <w:spacing w:before="154"/>
              <w:ind w:left="175" w:right="55"/>
              <w:jc w:val="both"/>
              <w:rPr>
                <w:sz w:val="24"/>
              </w:rPr>
            </w:pPr>
            <w:r>
              <w:rPr>
                <w:rFonts w:ascii="Arial"/>
                <w:b/>
                <w:sz w:val="24"/>
                <w:u w:val="single"/>
              </w:rPr>
              <w:t>Heads of Nursing</w:t>
            </w:r>
            <w:r>
              <w:rPr>
                <w:rFonts w:ascii="Arial"/>
                <w:b/>
                <w:sz w:val="24"/>
              </w:rPr>
              <w:t> </w:t>
            </w:r>
            <w:r>
              <w:rPr>
                <w:sz w:val="24"/>
              </w:rPr>
              <w:t>have a responsibility to ensure that this policy is disseminated to Matrons and Ward Managers to inform clinical staff of their responsibilities in the accurate recording of the MEWS and to act appropriately when patients begin to trigger.</w:t>
            </w:r>
          </w:p>
          <w:p>
            <w:pPr>
              <w:pStyle w:val="TableParagraph"/>
              <w:spacing w:before="120"/>
              <w:ind w:left="175" w:right="56"/>
              <w:jc w:val="both"/>
              <w:rPr>
                <w:sz w:val="24"/>
              </w:rPr>
            </w:pPr>
            <w:r>
              <w:rPr>
                <w:sz w:val="24"/>
              </w:rPr>
              <w:t>In collaboration with Matrons and Ward Managers, Heads of Nursing must ensure that adverse clinical incidents in relation to physiological monitoring</w:t>
            </w:r>
            <w:r>
              <w:rPr>
                <w:spacing w:val="40"/>
                <w:sz w:val="24"/>
              </w:rPr>
              <w:t> </w:t>
            </w:r>
            <w:r>
              <w:rPr>
                <w:sz w:val="24"/>
              </w:rPr>
              <w:t>in their clinical areas are reported and investigated and action plans produced to prevent future occurrence.</w:t>
            </w:r>
          </w:p>
        </w:tc>
      </w:tr>
      <w:tr>
        <w:trPr>
          <w:trHeight w:val="2803" w:hRule="atLeast"/>
        </w:trPr>
        <w:tc>
          <w:tcPr>
            <w:tcW w:w="758" w:type="dxa"/>
          </w:tcPr>
          <w:p>
            <w:pPr>
              <w:pStyle w:val="TableParagraph"/>
              <w:spacing w:before="255"/>
              <w:ind w:left="50"/>
              <w:rPr>
                <w:rFonts w:ascii="Arial"/>
                <w:b/>
                <w:sz w:val="24"/>
              </w:rPr>
            </w:pPr>
            <w:r>
              <w:rPr>
                <w:rFonts w:ascii="Arial"/>
                <w:b/>
                <w:spacing w:val="-2"/>
                <w:sz w:val="24"/>
              </w:rPr>
              <w:t>3.1.6</w:t>
            </w:r>
          </w:p>
        </w:tc>
        <w:tc>
          <w:tcPr>
            <w:tcW w:w="8371" w:type="dxa"/>
          </w:tcPr>
          <w:p>
            <w:pPr>
              <w:pStyle w:val="TableParagraph"/>
              <w:spacing w:before="97"/>
              <w:ind w:left="175" w:right="52"/>
              <w:jc w:val="both"/>
              <w:rPr>
                <w:sz w:val="24"/>
              </w:rPr>
            </w:pPr>
            <w:r>
              <w:rPr>
                <w:rFonts w:ascii="Arial"/>
                <w:b/>
                <w:sz w:val="24"/>
                <w:u w:val="single"/>
              </w:rPr>
              <w:t>Matrons and Ward managers </w:t>
            </w:r>
            <w:r>
              <w:rPr>
                <w:sz w:val="24"/>
              </w:rPr>
              <w:t>have a responsibility to ensure that any staff responsible for taking and recording observations are competent, able to calculate the MEWS accurately, suitably trained to recognise acute illness and knowledgeable in the MEWS Escalation Policy, to escalate care when needed to the appropriate people.</w:t>
            </w:r>
          </w:p>
          <w:p>
            <w:pPr>
              <w:pStyle w:val="TableParagraph"/>
              <w:spacing w:before="120"/>
              <w:ind w:left="175" w:right="51"/>
              <w:jc w:val="both"/>
              <w:rPr>
                <w:sz w:val="24"/>
              </w:rPr>
            </w:pPr>
            <w:r>
              <w:rPr>
                <w:sz w:val="24"/>
              </w:rPr>
              <w:t>Matrons and Ward Managers have a responsibility to ensure that all clinical staff have access to appropriate monitoring equipment and that it is in working order and that the observation charts are available and located</w:t>
            </w:r>
            <w:r>
              <w:rPr>
                <w:spacing w:val="40"/>
                <w:sz w:val="24"/>
              </w:rPr>
              <w:t> </w:t>
            </w:r>
            <w:r>
              <w:rPr>
                <w:sz w:val="24"/>
              </w:rPr>
              <w:t>in close proximity to the patient at all times.</w:t>
            </w:r>
          </w:p>
        </w:tc>
      </w:tr>
      <w:tr>
        <w:trPr>
          <w:trHeight w:val="1851" w:hRule="atLeast"/>
        </w:trPr>
        <w:tc>
          <w:tcPr>
            <w:tcW w:w="758" w:type="dxa"/>
          </w:tcPr>
          <w:p>
            <w:pPr>
              <w:pStyle w:val="TableParagraph"/>
              <w:spacing w:before="255"/>
              <w:ind w:left="50"/>
              <w:rPr>
                <w:rFonts w:ascii="Arial"/>
                <w:b/>
                <w:sz w:val="24"/>
              </w:rPr>
            </w:pPr>
            <w:r>
              <w:rPr>
                <w:rFonts w:ascii="Arial"/>
                <w:b/>
                <w:spacing w:val="-2"/>
                <w:sz w:val="24"/>
              </w:rPr>
              <w:t>3.1.7</w:t>
            </w:r>
          </w:p>
        </w:tc>
        <w:tc>
          <w:tcPr>
            <w:tcW w:w="8371" w:type="dxa"/>
          </w:tcPr>
          <w:p>
            <w:pPr>
              <w:pStyle w:val="TableParagraph"/>
              <w:spacing w:before="97"/>
              <w:ind w:left="175" w:right="47"/>
              <w:jc w:val="both"/>
              <w:rPr>
                <w:sz w:val="24"/>
              </w:rPr>
            </w:pPr>
            <w:r>
              <w:rPr>
                <w:rFonts w:ascii="Arial"/>
                <w:b/>
                <w:sz w:val="24"/>
                <w:u w:val="single"/>
              </w:rPr>
              <w:t>Clinical Professionals </w:t>
            </w:r>
            <w:r>
              <w:rPr>
                <w:sz w:val="24"/>
              </w:rPr>
              <w:t>involved in monitoring, recording, interpreting or acting on adult physiological observations have a personal and professional responsibility to ensure</w:t>
            </w:r>
          </w:p>
          <w:p>
            <w:pPr>
              <w:pStyle w:val="TableParagraph"/>
              <w:spacing w:line="237" w:lineRule="auto" w:before="83"/>
              <w:ind w:left="535" w:right="57" w:hanging="360"/>
              <w:jc w:val="both"/>
              <w:rPr>
                <w:sz w:val="24"/>
              </w:rPr>
            </w:pPr>
            <w:r>
              <w:rPr>
                <w:position w:val="-5"/>
              </w:rPr>
              <w:drawing>
                <wp:inline distT="0" distB="0" distL="0" distR="0">
                  <wp:extent cx="140207" cy="187452"/>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40"/>
                <w:sz w:val="20"/>
              </w:rPr>
              <w:t> </w:t>
            </w:r>
            <w:r>
              <w:rPr>
                <w:sz w:val="24"/>
              </w:rPr>
              <w:t>that they are competent, within their scope of professional practice, to accurately undertake and record physiological vital signs in accordance</w:t>
            </w:r>
          </w:p>
          <w:p>
            <w:pPr>
              <w:pStyle w:val="TableParagraph"/>
              <w:spacing w:line="256" w:lineRule="exact" w:before="2"/>
              <w:ind w:left="535"/>
              <w:jc w:val="both"/>
              <w:rPr>
                <w:sz w:val="24"/>
              </w:rPr>
            </w:pPr>
            <w:r>
              <w:rPr>
                <w:sz w:val="24"/>
              </w:rPr>
              <w:t>with</w:t>
            </w:r>
            <w:r>
              <w:rPr>
                <w:spacing w:val="-5"/>
                <w:sz w:val="24"/>
              </w:rPr>
              <w:t> </w:t>
            </w:r>
            <w:r>
              <w:rPr>
                <w:sz w:val="24"/>
              </w:rPr>
              <w:t>this</w:t>
            </w:r>
            <w:r>
              <w:rPr>
                <w:spacing w:val="-2"/>
                <w:sz w:val="24"/>
              </w:rPr>
              <w:t> policy</w:t>
            </w:r>
          </w:p>
        </w:tc>
      </w:tr>
    </w:tbl>
    <w:p>
      <w:pPr>
        <w:pStyle w:val="TableParagraph"/>
        <w:spacing w:after="0" w:line="256" w:lineRule="exact"/>
        <w:jc w:val="both"/>
        <w:rPr>
          <w:sz w:val="24"/>
        </w:rPr>
        <w:sectPr>
          <w:pgSz w:w="11910" w:h="16840"/>
          <w:pgMar w:header="0" w:footer="955" w:top="920" w:bottom="1140" w:left="425" w:right="566"/>
        </w:sect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
        <w:gridCol w:w="8372"/>
      </w:tblGrid>
      <w:tr>
        <w:trPr>
          <w:trHeight w:val="5777" w:hRule="atLeast"/>
        </w:trPr>
        <w:tc>
          <w:tcPr>
            <w:tcW w:w="758" w:type="dxa"/>
          </w:tcPr>
          <w:p>
            <w:pPr>
              <w:pStyle w:val="TableParagraph"/>
              <w:rPr>
                <w:rFonts w:ascii="Times New Roman"/>
                <w:sz w:val="24"/>
              </w:rPr>
            </w:pPr>
          </w:p>
        </w:tc>
        <w:tc>
          <w:tcPr>
            <w:tcW w:w="8372" w:type="dxa"/>
          </w:tcPr>
          <w:p>
            <w:pPr>
              <w:pStyle w:val="TableParagraph"/>
              <w:spacing w:line="235" w:lineRule="auto" w:before="4"/>
              <w:ind w:left="535" w:right="49" w:hanging="360"/>
              <w:jc w:val="both"/>
              <w:rPr>
                <w:sz w:val="24"/>
              </w:rPr>
            </w:pPr>
            <w:r>
              <w:rPr>
                <w:position w:val="-5"/>
              </w:rPr>
              <w:drawing>
                <wp:inline distT="0" distB="0" distL="0" distR="0">
                  <wp:extent cx="140207" cy="185927"/>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140207" cy="185927"/>
                          </a:xfrm>
                          <a:prstGeom prst="rect">
                            <a:avLst/>
                          </a:prstGeom>
                        </pic:spPr>
                      </pic:pic>
                    </a:graphicData>
                  </a:graphic>
                </wp:inline>
              </w:drawing>
            </w:r>
            <w:r>
              <w:rPr>
                <w:position w:val="-5"/>
              </w:rPr>
            </w:r>
            <w:r>
              <w:rPr>
                <w:rFonts w:ascii="Times New Roman"/>
                <w:spacing w:val="40"/>
                <w:sz w:val="20"/>
              </w:rPr>
              <w:t> </w:t>
            </w:r>
            <w:r>
              <w:rPr>
                <w:sz w:val="24"/>
              </w:rPr>
              <w:t>acknowledge any limitations in their knowledge and competence and</w:t>
            </w:r>
            <w:r>
              <w:rPr>
                <w:spacing w:val="40"/>
                <w:sz w:val="24"/>
              </w:rPr>
              <w:t> </w:t>
            </w:r>
            <w:r>
              <w:rPr>
                <w:sz w:val="24"/>
              </w:rPr>
              <w:t>seek further training as appropriate</w:t>
            </w:r>
          </w:p>
          <w:p>
            <w:pPr>
              <w:pStyle w:val="TableParagraph"/>
              <w:spacing w:line="237" w:lineRule="auto" w:before="86"/>
              <w:ind w:left="535" w:right="58" w:hanging="360"/>
              <w:jc w:val="both"/>
              <w:rPr>
                <w:sz w:val="24"/>
              </w:rPr>
            </w:pPr>
            <w:r>
              <w:rPr>
                <w:position w:val="-5"/>
              </w:rPr>
              <w:drawing>
                <wp:inline distT="0" distB="0" distL="0" distR="0">
                  <wp:extent cx="140207" cy="187451"/>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report any abnormalities or concerns to a more senior member of the team when appropriate</w:t>
            </w:r>
          </w:p>
          <w:p>
            <w:pPr>
              <w:pStyle w:val="TableParagraph"/>
              <w:spacing w:line="235" w:lineRule="auto" w:before="205"/>
              <w:ind w:left="535" w:right="58" w:hanging="360"/>
              <w:jc w:val="both"/>
              <w:rPr>
                <w:sz w:val="24"/>
              </w:rPr>
            </w:pPr>
            <w:r>
              <w:rPr>
                <w:position w:val="-5"/>
              </w:rPr>
              <w:drawing>
                <wp:inline distT="0" distB="0" distL="0" distR="0">
                  <wp:extent cx="140207" cy="187451"/>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be competent in the use of equipment necessary for the taking and recording of adult physiological observations</w:t>
            </w:r>
          </w:p>
          <w:p>
            <w:pPr>
              <w:pStyle w:val="TableParagraph"/>
              <w:spacing w:line="235" w:lineRule="auto" w:before="208"/>
              <w:ind w:left="535" w:right="61" w:hanging="360"/>
              <w:jc w:val="both"/>
              <w:rPr>
                <w:sz w:val="24"/>
              </w:rPr>
            </w:pPr>
            <w:r>
              <w:rPr>
                <w:position w:val="-5"/>
              </w:rPr>
              <w:drawing>
                <wp:inline distT="0" distB="0" distL="0" distR="0">
                  <wp:extent cx="140207" cy="187451"/>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be able to report any malfunctions to the Medical Technical Services </w:t>
            </w:r>
            <w:r>
              <w:rPr>
                <w:spacing w:val="-2"/>
                <w:sz w:val="24"/>
              </w:rPr>
              <w:t>department</w:t>
            </w:r>
          </w:p>
          <w:p>
            <w:pPr>
              <w:pStyle w:val="TableParagraph"/>
              <w:spacing w:before="203"/>
              <w:ind w:left="535" w:right="61" w:hanging="360"/>
              <w:jc w:val="both"/>
              <w:rPr>
                <w:sz w:val="24"/>
              </w:rPr>
            </w:pPr>
            <w:r>
              <w:rPr>
                <w:position w:val="-5"/>
              </w:rPr>
              <w:drawing>
                <wp:inline distT="0" distB="0" distL="0" distR="0">
                  <wp:extent cx="140207" cy="187451"/>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be aware of the MEWS Escalation Policy when patients begin to trigger on the Modified Early Warning Score tool (MEWS)</w:t>
            </w:r>
          </w:p>
          <w:p>
            <w:pPr>
              <w:pStyle w:val="TableParagraph"/>
              <w:spacing w:before="195"/>
              <w:ind w:left="535" w:right="46" w:hanging="360"/>
              <w:jc w:val="both"/>
              <w:rPr>
                <w:sz w:val="24"/>
              </w:rPr>
            </w:pPr>
            <w:r>
              <w:rPr>
                <w:position w:val="-4"/>
              </w:rPr>
              <w:drawing>
                <wp:inline distT="0" distB="0" distL="0" distR="0">
                  <wp:extent cx="128015" cy="172211"/>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0" cstate="print"/>
                          <a:stretch>
                            <a:fillRect/>
                          </a:stretch>
                        </pic:blipFill>
                        <pic:spPr>
                          <a:xfrm>
                            <a:off x="0" y="0"/>
                            <a:ext cx="128015" cy="172211"/>
                          </a:xfrm>
                          <a:prstGeom prst="rect">
                            <a:avLst/>
                          </a:prstGeom>
                        </pic:spPr>
                      </pic:pic>
                    </a:graphicData>
                  </a:graphic>
                </wp:inline>
              </w:drawing>
            </w:r>
            <w:r>
              <w:rPr>
                <w:position w:val="-4"/>
              </w:rPr>
            </w:r>
            <w:r>
              <w:rPr>
                <w:rFonts w:ascii="Times New Roman"/>
                <w:spacing w:val="80"/>
                <w:sz w:val="20"/>
              </w:rPr>
              <w:t> </w:t>
            </w:r>
            <w:r>
              <w:rPr>
                <w:sz w:val="24"/>
              </w:rPr>
              <w:t>what actions are needed by the range of scores generated (A summary</w:t>
            </w:r>
            <w:r>
              <w:rPr>
                <w:spacing w:val="40"/>
                <w:sz w:val="24"/>
              </w:rPr>
              <w:t> </w:t>
            </w:r>
            <w:r>
              <w:rPr>
                <w:sz w:val="24"/>
              </w:rPr>
              <w:t>of the MEWS</w:t>
            </w:r>
            <w:r>
              <w:rPr>
                <w:spacing w:val="-1"/>
                <w:sz w:val="24"/>
              </w:rPr>
              <w:t> </w:t>
            </w:r>
            <w:r>
              <w:rPr>
                <w:sz w:val="24"/>
              </w:rPr>
              <w:t>Escalation Policy</w:t>
            </w:r>
            <w:r>
              <w:rPr>
                <w:spacing w:val="-2"/>
                <w:sz w:val="24"/>
              </w:rPr>
              <w:t> </w:t>
            </w:r>
            <w:r>
              <w:rPr>
                <w:sz w:val="24"/>
              </w:rPr>
              <w:t>is located on</w:t>
            </w:r>
            <w:r>
              <w:rPr>
                <w:spacing w:val="-1"/>
                <w:sz w:val="24"/>
              </w:rPr>
              <w:t> </w:t>
            </w:r>
            <w:r>
              <w:rPr>
                <w:sz w:val="24"/>
              </w:rPr>
              <w:t>the Adult Observation Chart booklet and the full policy is available on the Trust Intranet </w:t>
            </w:r>
            <w:hyperlink r:id="rId11">
              <w:r>
                <w:rPr>
                  <w:color w:val="0000FF"/>
                  <w:sz w:val="24"/>
                  <w:u w:val="single" w:color="0000FF"/>
                </w:rPr>
                <w:t>http://uhsm-</w:t>
              </w:r>
            </w:hyperlink>
            <w:r>
              <w:rPr>
                <w:color w:val="0000FF"/>
                <w:sz w:val="24"/>
              </w:rPr>
              <w:t> </w:t>
            </w:r>
            <w:hyperlink r:id="rId11">
              <w:r>
                <w:rPr>
                  <w:color w:val="0000FF"/>
                  <w:spacing w:val="-2"/>
                  <w:sz w:val="24"/>
                  <w:u w:val="single" w:color="0000FF"/>
                </w:rPr>
                <w:t>intranet/policies/Pages/default.aspx</w:t>
              </w:r>
            </w:hyperlink>
          </w:p>
          <w:p>
            <w:pPr>
              <w:pStyle w:val="TableParagraph"/>
              <w:spacing w:line="242" w:lineRule="auto" w:before="200"/>
              <w:ind w:left="535" w:right="60" w:hanging="360"/>
              <w:jc w:val="both"/>
              <w:rPr>
                <w:sz w:val="24"/>
              </w:rPr>
            </w:pPr>
            <w:r>
              <w:rPr>
                <w:position w:val="-4"/>
              </w:rPr>
              <w:drawing>
                <wp:inline distT="0" distB="0" distL="0" distR="0">
                  <wp:extent cx="128015" cy="172211"/>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128015" cy="172211"/>
                          </a:xfrm>
                          <a:prstGeom prst="rect">
                            <a:avLst/>
                          </a:prstGeom>
                        </pic:spPr>
                      </pic:pic>
                    </a:graphicData>
                  </a:graphic>
                </wp:inline>
              </w:drawing>
            </w:r>
            <w:r>
              <w:rPr>
                <w:position w:val="-4"/>
              </w:rPr>
            </w:r>
            <w:r>
              <w:rPr>
                <w:rFonts w:ascii="Times New Roman"/>
                <w:spacing w:val="80"/>
                <w:sz w:val="20"/>
              </w:rPr>
              <w:t> </w:t>
            </w:r>
            <w:r>
              <w:rPr>
                <w:sz w:val="24"/>
              </w:rPr>
              <w:t>Report any untoward incident that occurs by not adhering to this Policy</w:t>
            </w:r>
            <w:r>
              <w:rPr>
                <w:spacing w:val="40"/>
                <w:sz w:val="24"/>
              </w:rPr>
              <w:t> </w:t>
            </w:r>
            <w:r>
              <w:rPr>
                <w:sz w:val="24"/>
              </w:rPr>
              <w:t>by informing their line manager and using the HIRS reporting system.</w:t>
            </w:r>
          </w:p>
        </w:tc>
      </w:tr>
      <w:tr>
        <w:trPr>
          <w:trHeight w:val="1187" w:hRule="atLeast"/>
        </w:trPr>
        <w:tc>
          <w:tcPr>
            <w:tcW w:w="758" w:type="dxa"/>
          </w:tcPr>
          <w:p>
            <w:pPr>
              <w:pStyle w:val="TableParagraph"/>
              <w:spacing w:before="233"/>
              <w:ind w:left="50"/>
              <w:rPr>
                <w:rFonts w:ascii="Arial"/>
                <w:b/>
                <w:sz w:val="24"/>
              </w:rPr>
            </w:pPr>
            <w:r>
              <w:rPr>
                <w:rFonts w:ascii="Arial"/>
                <w:b/>
                <w:spacing w:val="-2"/>
                <w:sz w:val="24"/>
              </w:rPr>
              <w:t>3.1.8</w:t>
            </w:r>
          </w:p>
        </w:tc>
        <w:tc>
          <w:tcPr>
            <w:tcW w:w="8372" w:type="dxa"/>
          </w:tcPr>
          <w:p>
            <w:pPr>
              <w:pStyle w:val="TableParagraph"/>
              <w:spacing w:before="195"/>
              <w:ind w:left="175" w:right="55"/>
              <w:jc w:val="both"/>
              <w:rPr>
                <w:sz w:val="24"/>
              </w:rPr>
            </w:pPr>
            <w:r>
              <w:rPr>
                <w:rFonts w:ascii="Arial"/>
                <w:b/>
                <w:sz w:val="24"/>
                <w:u w:val="single"/>
              </w:rPr>
              <w:t>Clinical Director Critical Care Outreach Service and Critical Care</w:t>
            </w:r>
            <w:r>
              <w:rPr>
                <w:rFonts w:ascii="Arial"/>
                <w:b/>
                <w:sz w:val="24"/>
              </w:rPr>
              <w:t> </w:t>
            </w:r>
            <w:r>
              <w:rPr>
                <w:rFonts w:ascii="Arial"/>
                <w:b/>
                <w:sz w:val="24"/>
                <w:u w:val="single"/>
              </w:rPr>
              <w:t>Outreach Lead </w:t>
            </w:r>
            <w:r>
              <w:rPr>
                <w:sz w:val="24"/>
              </w:rPr>
              <w:t>have responsibility for auditing the Observation Policy to ensure that clinical practitioners comply with this policy</w:t>
            </w:r>
          </w:p>
        </w:tc>
      </w:tr>
      <w:tr>
        <w:trPr>
          <w:trHeight w:val="1107" w:hRule="atLeast"/>
        </w:trPr>
        <w:tc>
          <w:tcPr>
            <w:tcW w:w="758" w:type="dxa"/>
          </w:tcPr>
          <w:p>
            <w:pPr>
              <w:pStyle w:val="TableParagraph"/>
              <w:spacing w:before="275"/>
              <w:ind w:left="50"/>
              <w:rPr>
                <w:rFonts w:ascii="Arial"/>
                <w:b/>
                <w:sz w:val="24"/>
              </w:rPr>
            </w:pPr>
            <w:r>
              <w:rPr>
                <w:rFonts w:ascii="Arial"/>
                <w:b/>
                <w:spacing w:val="-2"/>
                <w:sz w:val="24"/>
              </w:rPr>
              <w:t>3.1.9</w:t>
            </w:r>
          </w:p>
        </w:tc>
        <w:tc>
          <w:tcPr>
            <w:tcW w:w="8372" w:type="dxa"/>
          </w:tcPr>
          <w:p>
            <w:pPr>
              <w:pStyle w:val="TableParagraph"/>
              <w:spacing w:before="154"/>
              <w:ind w:left="175" w:right="52"/>
              <w:jc w:val="both"/>
              <w:rPr>
                <w:sz w:val="24"/>
              </w:rPr>
            </w:pPr>
            <w:r>
              <w:rPr>
                <w:rFonts w:ascii="Arial"/>
                <w:b/>
                <w:sz w:val="24"/>
                <w:u w:val="single"/>
              </w:rPr>
              <w:t>Medical Technical Services Department </w:t>
            </w:r>
            <w:r>
              <w:rPr>
                <w:sz w:val="24"/>
              </w:rPr>
              <w:t>have a responsibility to check</w:t>
            </w:r>
            <w:r>
              <w:rPr>
                <w:spacing w:val="40"/>
                <w:sz w:val="24"/>
              </w:rPr>
              <w:t> </w:t>
            </w:r>
            <w:r>
              <w:rPr>
                <w:sz w:val="24"/>
              </w:rPr>
              <w:t>and maintain physiological measurement equipment in accordance with hospital policy and manufacturers recommendations</w:t>
            </w:r>
          </w:p>
        </w:tc>
      </w:tr>
      <w:tr>
        <w:trPr>
          <w:trHeight w:val="883" w:hRule="atLeast"/>
        </w:trPr>
        <w:tc>
          <w:tcPr>
            <w:tcW w:w="758" w:type="dxa"/>
          </w:tcPr>
          <w:p>
            <w:pPr>
              <w:pStyle w:val="TableParagraph"/>
              <w:spacing w:before="236"/>
              <w:ind w:left="50"/>
              <w:rPr>
                <w:rFonts w:ascii="Arial"/>
                <w:b/>
                <w:sz w:val="28"/>
              </w:rPr>
            </w:pPr>
            <w:r>
              <w:rPr>
                <w:rFonts w:ascii="Arial"/>
                <w:b/>
                <w:spacing w:val="-5"/>
                <w:sz w:val="28"/>
              </w:rPr>
              <w:t>3.2</w:t>
            </w:r>
          </w:p>
        </w:tc>
        <w:tc>
          <w:tcPr>
            <w:tcW w:w="8372" w:type="dxa"/>
          </w:tcPr>
          <w:p>
            <w:pPr>
              <w:pStyle w:val="TableParagraph"/>
              <w:spacing w:before="116"/>
              <w:ind w:left="175"/>
              <w:rPr>
                <w:rFonts w:ascii="Arial"/>
                <w:b/>
                <w:sz w:val="28"/>
              </w:rPr>
            </w:pPr>
            <w:r>
              <w:rPr>
                <w:rFonts w:ascii="Arial"/>
                <w:b/>
                <w:sz w:val="28"/>
              </w:rPr>
              <w:t>Observation Policy - Minimum Standards for Monitoring and Recording Adult Physiological Vital Signs</w:t>
            </w:r>
          </w:p>
        </w:tc>
      </w:tr>
      <w:tr>
        <w:trPr>
          <w:trHeight w:val="5585" w:hRule="atLeast"/>
        </w:trPr>
        <w:tc>
          <w:tcPr>
            <w:tcW w:w="758" w:type="dxa"/>
          </w:tcPr>
          <w:p>
            <w:pPr>
              <w:pStyle w:val="TableParagraph"/>
              <w:spacing w:before="115"/>
              <w:ind w:left="50"/>
              <w:rPr>
                <w:rFonts w:ascii="Arial"/>
                <w:b/>
                <w:sz w:val="24"/>
              </w:rPr>
            </w:pPr>
            <w:r>
              <w:rPr>
                <w:rFonts w:ascii="Arial"/>
                <w:b/>
                <w:spacing w:val="-2"/>
                <w:sz w:val="24"/>
              </w:rPr>
              <w:t>3.2.1</w:t>
            </w: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181"/>
              <w:rPr>
                <w:rFonts w:ascii="Arial"/>
                <w:b/>
                <w:sz w:val="24"/>
              </w:rPr>
            </w:pPr>
          </w:p>
          <w:p>
            <w:pPr>
              <w:pStyle w:val="TableParagraph"/>
              <w:ind w:left="50"/>
              <w:rPr>
                <w:rFonts w:ascii="Arial"/>
                <w:b/>
                <w:sz w:val="24"/>
              </w:rPr>
            </w:pPr>
            <w:r>
              <w:rPr>
                <w:rFonts w:ascii="Arial"/>
                <w:b/>
                <w:spacing w:val="-2"/>
                <w:sz w:val="24"/>
              </w:rPr>
              <w:t>3.2.2</w:t>
            </w:r>
          </w:p>
        </w:tc>
        <w:tc>
          <w:tcPr>
            <w:tcW w:w="8372" w:type="dxa"/>
          </w:tcPr>
          <w:p>
            <w:pPr>
              <w:pStyle w:val="TableParagraph"/>
              <w:spacing w:before="115"/>
              <w:ind w:left="175" w:right="54"/>
              <w:jc w:val="both"/>
              <w:rPr>
                <w:sz w:val="24"/>
              </w:rPr>
            </w:pPr>
            <w:r>
              <w:rPr>
                <w:sz w:val="24"/>
              </w:rPr>
              <w:t>All adult patients admitted into the Foundation Trust, (including patients in Accident</w:t>
            </w:r>
            <w:r>
              <w:rPr>
                <w:spacing w:val="-4"/>
                <w:sz w:val="24"/>
              </w:rPr>
              <w:t> </w:t>
            </w:r>
            <w:r>
              <w:rPr>
                <w:sz w:val="24"/>
              </w:rPr>
              <w:t>and</w:t>
            </w:r>
            <w:r>
              <w:rPr>
                <w:spacing w:val="-1"/>
                <w:sz w:val="24"/>
              </w:rPr>
              <w:t> </w:t>
            </w:r>
            <w:r>
              <w:rPr>
                <w:sz w:val="24"/>
              </w:rPr>
              <w:t>Emergency</w:t>
            </w:r>
            <w:r>
              <w:rPr>
                <w:spacing w:val="-4"/>
                <w:sz w:val="24"/>
              </w:rPr>
              <w:t> </w:t>
            </w:r>
            <w:r>
              <w:rPr>
                <w:sz w:val="24"/>
              </w:rPr>
              <w:t>and</w:t>
            </w:r>
            <w:r>
              <w:rPr>
                <w:spacing w:val="-1"/>
                <w:sz w:val="24"/>
              </w:rPr>
              <w:t> </w:t>
            </w:r>
            <w:r>
              <w:rPr>
                <w:sz w:val="24"/>
              </w:rPr>
              <w:t>Outpatients</w:t>
            </w:r>
            <w:r>
              <w:rPr>
                <w:spacing w:val="-1"/>
                <w:sz w:val="24"/>
              </w:rPr>
              <w:t> </w:t>
            </w:r>
            <w:r>
              <w:rPr>
                <w:sz w:val="24"/>
              </w:rPr>
              <w:t>Departments</w:t>
            </w:r>
            <w:r>
              <w:rPr>
                <w:spacing w:val="-1"/>
                <w:sz w:val="24"/>
              </w:rPr>
              <w:t> </w:t>
            </w:r>
            <w:r>
              <w:rPr>
                <w:sz w:val="24"/>
              </w:rPr>
              <w:t>when</w:t>
            </w:r>
            <w:r>
              <w:rPr>
                <w:spacing w:val="-1"/>
                <w:sz w:val="24"/>
              </w:rPr>
              <w:t> </w:t>
            </w:r>
            <w:r>
              <w:rPr>
                <w:sz w:val="24"/>
              </w:rPr>
              <w:t>a</w:t>
            </w:r>
            <w:r>
              <w:rPr>
                <w:spacing w:val="-1"/>
                <w:sz w:val="24"/>
              </w:rPr>
              <w:t> </w:t>
            </w:r>
            <w:r>
              <w:rPr>
                <w:sz w:val="24"/>
              </w:rPr>
              <w:t>decision</w:t>
            </w:r>
            <w:r>
              <w:rPr>
                <w:spacing w:val="-1"/>
                <w:sz w:val="24"/>
              </w:rPr>
              <w:t> </w:t>
            </w:r>
            <w:r>
              <w:rPr>
                <w:sz w:val="24"/>
              </w:rPr>
              <w:t>has been made to admit) will have a Trust observation chart commenced and physiological observations recorded at the time of their admission. Each basic set of observations must include;</w:t>
            </w:r>
          </w:p>
          <w:p>
            <w:pPr>
              <w:pStyle w:val="TableParagraph"/>
              <w:spacing w:line="336" w:lineRule="auto" w:before="123"/>
              <w:ind w:left="535" w:right="5607"/>
              <w:rPr>
                <w:sz w:val="24"/>
              </w:rPr>
            </w:pPr>
            <w:r>
              <w:rPr>
                <w:position w:val="-5"/>
              </w:rPr>
              <w:drawing>
                <wp:inline distT="0" distB="0" distL="0" distR="0">
                  <wp:extent cx="140207" cy="187451"/>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66"/>
                <w:sz w:val="20"/>
              </w:rPr>
              <w:t> </w:t>
            </w:r>
            <w:r>
              <w:rPr>
                <w:sz w:val="24"/>
              </w:rPr>
              <w:t>Respiratory</w:t>
            </w:r>
            <w:r>
              <w:rPr>
                <w:spacing w:val="-15"/>
                <w:sz w:val="24"/>
              </w:rPr>
              <w:t> </w:t>
            </w:r>
            <w:r>
              <w:rPr>
                <w:sz w:val="24"/>
              </w:rPr>
              <w:t>rate </w:t>
            </w:r>
            <w:r>
              <w:rPr>
                <w:position w:val="-5"/>
                <w:sz w:val="24"/>
              </w:rPr>
              <w:drawing>
                <wp:inline distT="0" distB="0" distL="0" distR="0">
                  <wp:extent cx="140207" cy="187451"/>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Temperature</w:t>
            </w:r>
          </w:p>
          <w:p>
            <w:pPr>
              <w:pStyle w:val="TableParagraph"/>
              <w:spacing w:line="294" w:lineRule="exact"/>
              <w:ind w:left="535"/>
              <w:rPr>
                <w:sz w:val="24"/>
              </w:rPr>
            </w:pPr>
            <w:r>
              <w:rPr>
                <w:position w:val="-5"/>
              </w:rPr>
              <w:drawing>
                <wp:inline distT="0" distB="0" distL="0" distR="0">
                  <wp:extent cx="140207" cy="187451"/>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Blood pressure</w:t>
            </w:r>
          </w:p>
          <w:p>
            <w:pPr>
              <w:pStyle w:val="TableParagraph"/>
              <w:spacing w:before="117"/>
              <w:ind w:left="535"/>
              <w:rPr>
                <w:sz w:val="24"/>
              </w:rPr>
            </w:pPr>
            <w:r>
              <w:rPr>
                <w:position w:val="-5"/>
              </w:rPr>
              <w:drawing>
                <wp:inline distT="0" distB="0" distL="0" distR="0">
                  <wp:extent cx="140207" cy="187451"/>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hAnsi="Times New Roman"/>
                <w:spacing w:val="80"/>
                <w:sz w:val="20"/>
              </w:rPr>
              <w:t> </w:t>
            </w:r>
            <w:r>
              <w:rPr>
                <w:sz w:val="24"/>
              </w:rPr>
              <w:t>Pulse – rate and regularity</w:t>
            </w:r>
          </w:p>
          <w:p>
            <w:pPr>
              <w:pStyle w:val="TableParagraph"/>
              <w:tabs>
                <w:tab w:pos="962" w:val="left" w:leader="none"/>
              </w:tabs>
              <w:spacing w:line="336" w:lineRule="auto" w:before="115"/>
              <w:ind w:left="535" w:right="4192"/>
              <w:rPr>
                <w:sz w:val="24"/>
              </w:rPr>
            </w:pPr>
            <w:r>
              <w:rPr>
                <w:position w:val="-5"/>
              </w:rPr>
              <w:drawing>
                <wp:inline distT="0" distB="0" distL="0" distR="0">
                  <wp:extent cx="140207" cy="187451"/>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z w:val="20"/>
              </w:rPr>
              <w:tab/>
            </w:r>
            <w:r>
              <w:rPr>
                <w:sz w:val="24"/>
              </w:rPr>
              <w:t>AVPU</w:t>
            </w:r>
            <w:r>
              <w:rPr>
                <w:spacing w:val="-13"/>
                <w:sz w:val="24"/>
              </w:rPr>
              <w:t> </w:t>
            </w:r>
            <w:r>
              <w:rPr>
                <w:sz w:val="24"/>
              </w:rPr>
              <w:t>score</w:t>
            </w:r>
            <w:r>
              <w:rPr>
                <w:spacing w:val="-13"/>
                <w:sz w:val="24"/>
              </w:rPr>
              <w:t> </w:t>
            </w:r>
            <w:r>
              <w:rPr>
                <w:sz w:val="24"/>
              </w:rPr>
              <w:t>(Conscious</w:t>
            </w:r>
            <w:r>
              <w:rPr>
                <w:spacing w:val="-13"/>
                <w:sz w:val="24"/>
              </w:rPr>
              <w:t> </w:t>
            </w:r>
            <w:r>
              <w:rPr>
                <w:sz w:val="24"/>
              </w:rPr>
              <w:t>level) </w:t>
            </w:r>
            <w:r>
              <w:rPr>
                <w:position w:val="-5"/>
                <w:sz w:val="24"/>
              </w:rPr>
              <w:drawing>
                <wp:inline distT="0" distB="0" distL="0" distR="0">
                  <wp:extent cx="140207" cy="187451"/>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Oxygen saturation</w:t>
            </w:r>
          </w:p>
          <w:p>
            <w:pPr>
              <w:pStyle w:val="TableParagraph"/>
              <w:spacing w:line="294" w:lineRule="exact"/>
              <w:ind w:left="535"/>
              <w:rPr>
                <w:sz w:val="24"/>
              </w:rPr>
            </w:pPr>
            <w:r>
              <w:rPr>
                <w:position w:val="-5"/>
              </w:rPr>
              <w:drawing>
                <wp:inline distT="0" distB="0" distL="0" distR="0">
                  <wp:extent cx="140207" cy="187451"/>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Mode of oxygen delivery</w:t>
            </w:r>
          </w:p>
          <w:p>
            <w:pPr>
              <w:pStyle w:val="TableParagraph"/>
              <w:spacing w:before="116"/>
              <w:ind w:left="535"/>
              <w:rPr>
                <w:sz w:val="24"/>
              </w:rPr>
            </w:pPr>
            <w:r>
              <w:rPr>
                <w:position w:val="-5"/>
              </w:rPr>
              <w:drawing>
                <wp:inline distT="0" distB="0" distL="0" distR="0">
                  <wp:extent cx="140207" cy="187451"/>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Modified Early Warning Score (MEWS) (appendix A)</w:t>
            </w:r>
          </w:p>
          <w:p>
            <w:pPr>
              <w:pStyle w:val="TableParagraph"/>
              <w:spacing w:before="236"/>
              <w:rPr>
                <w:rFonts w:ascii="Arial"/>
                <w:b/>
                <w:sz w:val="24"/>
              </w:rPr>
            </w:pPr>
          </w:p>
          <w:p>
            <w:pPr>
              <w:pStyle w:val="TableParagraph"/>
              <w:spacing w:line="256" w:lineRule="exact"/>
              <w:ind w:left="175"/>
              <w:jc w:val="both"/>
              <w:rPr>
                <w:sz w:val="24"/>
              </w:rPr>
            </w:pPr>
            <w:r>
              <w:rPr>
                <w:sz w:val="24"/>
              </w:rPr>
              <w:t>In</w:t>
            </w:r>
            <w:r>
              <w:rPr>
                <w:spacing w:val="17"/>
                <w:sz w:val="24"/>
              </w:rPr>
              <w:t> </w:t>
            </w:r>
            <w:r>
              <w:rPr>
                <w:sz w:val="24"/>
              </w:rPr>
              <w:t>specific</w:t>
            </w:r>
            <w:r>
              <w:rPr>
                <w:spacing w:val="17"/>
                <w:sz w:val="24"/>
              </w:rPr>
              <w:t> </w:t>
            </w:r>
            <w:r>
              <w:rPr>
                <w:sz w:val="24"/>
              </w:rPr>
              <w:t>clinical</w:t>
            </w:r>
            <w:r>
              <w:rPr>
                <w:spacing w:val="21"/>
                <w:sz w:val="24"/>
              </w:rPr>
              <w:t> </w:t>
            </w:r>
            <w:r>
              <w:rPr>
                <w:sz w:val="24"/>
              </w:rPr>
              <w:t>circumstances,</w:t>
            </w:r>
            <w:r>
              <w:rPr>
                <w:spacing w:val="19"/>
                <w:sz w:val="24"/>
              </w:rPr>
              <w:t> </w:t>
            </w:r>
            <w:r>
              <w:rPr>
                <w:sz w:val="24"/>
              </w:rPr>
              <w:t>additional</w:t>
            </w:r>
            <w:r>
              <w:rPr>
                <w:spacing w:val="17"/>
                <w:sz w:val="24"/>
              </w:rPr>
              <w:t> </w:t>
            </w:r>
            <w:r>
              <w:rPr>
                <w:sz w:val="24"/>
              </w:rPr>
              <w:t>monitoring</w:t>
            </w:r>
            <w:r>
              <w:rPr>
                <w:spacing w:val="17"/>
                <w:sz w:val="24"/>
              </w:rPr>
              <w:t> </w:t>
            </w:r>
            <w:r>
              <w:rPr>
                <w:sz w:val="24"/>
              </w:rPr>
              <w:t>must</w:t>
            </w:r>
            <w:r>
              <w:rPr>
                <w:spacing w:val="16"/>
                <w:sz w:val="24"/>
              </w:rPr>
              <w:t> </w:t>
            </w:r>
            <w:r>
              <w:rPr>
                <w:sz w:val="24"/>
              </w:rPr>
              <w:t>be</w:t>
            </w:r>
            <w:r>
              <w:rPr>
                <w:spacing w:val="19"/>
                <w:sz w:val="24"/>
              </w:rPr>
              <w:t> </w:t>
            </w:r>
            <w:r>
              <w:rPr>
                <w:spacing w:val="-2"/>
                <w:sz w:val="24"/>
              </w:rPr>
              <w:t>considered</w:t>
            </w:r>
          </w:p>
        </w:tc>
      </w:tr>
    </w:tbl>
    <w:p>
      <w:pPr>
        <w:pStyle w:val="TableParagraph"/>
        <w:spacing w:after="0" w:line="256" w:lineRule="exact"/>
        <w:jc w:val="both"/>
        <w:rPr>
          <w:sz w:val="24"/>
        </w:rPr>
        <w:sectPr>
          <w:type w:val="continuous"/>
          <w:pgSz w:w="11910" w:h="16840"/>
          <w:pgMar w:header="0" w:footer="955" w:top="680" w:bottom="1140" w:left="425" w:right="566"/>
        </w:sectPr>
      </w:pPr>
    </w:p>
    <w:p>
      <w:pPr>
        <w:pStyle w:val="BodyText"/>
        <w:spacing w:before="2"/>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
        <w:gridCol w:w="8370"/>
      </w:tblGrid>
      <w:tr>
        <w:trPr>
          <w:trHeight w:val="3673" w:hRule="atLeast"/>
        </w:trPr>
        <w:tc>
          <w:tcPr>
            <w:tcW w:w="758" w:type="dxa"/>
          </w:tcPr>
          <w:p>
            <w:pPr>
              <w:pStyle w:val="TableParagraph"/>
              <w:rPr>
                <w:rFonts w:ascii="Times New Roman"/>
                <w:sz w:val="22"/>
              </w:rPr>
            </w:pPr>
          </w:p>
        </w:tc>
        <w:tc>
          <w:tcPr>
            <w:tcW w:w="8370" w:type="dxa"/>
          </w:tcPr>
          <w:p>
            <w:pPr>
              <w:pStyle w:val="TableParagraph"/>
              <w:spacing w:line="345" w:lineRule="auto"/>
              <w:ind w:left="535" w:hanging="360"/>
              <w:rPr>
                <w:sz w:val="24"/>
              </w:rPr>
            </w:pPr>
            <w:r>
              <w:rPr>
                <w:sz w:val="24"/>
              </w:rPr>
              <w:t>and</w:t>
            </w:r>
            <w:r>
              <w:rPr>
                <w:spacing w:val="-5"/>
                <w:sz w:val="24"/>
              </w:rPr>
              <w:t> </w:t>
            </w:r>
            <w:r>
              <w:rPr>
                <w:sz w:val="24"/>
              </w:rPr>
              <w:t>the</w:t>
            </w:r>
            <w:r>
              <w:rPr>
                <w:spacing w:val="-5"/>
                <w:sz w:val="24"/>
              </w:rPr>
              <w:t> </w:t>
            </w:r>
            <w:r>
              <w:rPr>
                <w:sz w:val="24"/>
              </w:rPr>
              <w:t>decision</w:t>
            </w:r>
            <w:r>
              <w:rPr>
                <w:spacing w:val="-4"/>
                <w:sz w:val="24"/>
              </w:rPr>
              <w:t> </w:t>
            </w:r>
            <w:r>
              <w:rPr>
                <w:sz w:val="24"/>
              </w:rPr>
              <w:t>documented</w:t>
            </w:r>
            <w:r>
              <w:rPr>
                <w:spacing w:val="-5"/>
                <w:sz w:val="24"/>
              </w:rPr>
              <w:t> </w:t>
            </w:r>
            <w:r>
              <w:rPr>
                <w:sz w:val="24"/>
              </w:rPr>
              <w:t>clearly</w:t>
            </w:r>
            <w:r>
              <w:rPr>
                <w:spacing w:val="-6"/>
                <w:sz w:val="24"/>
              </w:rPr>
              <w:t> </w:t>
            </w:r>
            <w:r>
              <w:rPr>
                <w:sz w:val="24"/>
              </w:rPr>
              <w:t>within</w:t>
            </w:r>
            <w:r>
              <w:rPr>
                <w:spacing w:val="-4"/>
                <w:sz w:val="24"/>
              </w:rPr>
              <w:t> </w:t>
            </w:r>
            <w:r>
              <w:rPr>
                <w:sz w:val="24"/>
              </w:rPr>
              <w:t>the</w:t>
            </w:r>
            <w:r>
              <w:rPr>
                <w:spacing w:val="-5"/>
                <w:sz w:val="24"/>
              </w:rPr>
              <w:t> </w:t>
            </w:r>
            <w:r>
              <w:rPr>
                <w:sz w:val="24"/>
              </w:rPr>
              <w:t>medical</w:t>
            </w:r>
            <w:r>
              <w:rPr>
                <w:spacing w:val="-4"/>
                <w:sz w:val="24"/>
              </w:rPr>
              <w:t> </w:t>
            </w:r>
            <w:r>
              <w:rPr>
                <w:sz w:val="24"/>
              </w:rPr>
              <w:t>notes.</w:t>
            </w:r>
            <w:r>
              <w:rPr>
                <w:spacing w:val="-4"/>
                <w:sz w:val="24"/>
              </w:rPr>
              <w:t> </w:t>
            </w:r>
            <w:r>
              <w:rPr>
                <w:sz w:val="24"/>
              </w:rPr>
              <w:t>For</w:t>
            </w:r>
            <w:r>
              <w:rPr>
                <w:spacing w:val="-6"/>
                <w:sz w:val="24"/>
              </w:rPr>
              <w:t> </w:t>
            </w:r>
            <w:r>
              <w:rPr>
                <w:sz w:val="24"/>
              </w:rPr>
              <w:t>example; </w:t>
            </w:r>
            <w:r>
              <w:rPr>
                <w:position w:val="-5"/>
                <w:sz w:val="24"/>
              </w:rPr>
              <w:drawing>
                <wp:inline distT="0" distB="0" distL="0" distR="0">
                  <wp:extent cx="140207" cy="187451"/>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Blood sugar</w:t>
            </w:r>
          </w:p>
          <w:p>
            <w:pPr>
              <w:pStyle w:val="TableParagraph"/>
              <w:spacing w:line="336" w:lineRule="auto"/>
              <w:ind w:left="535" w:right="4592"/>
              <w:rPr>
                <w:sz w:val="24"/>
              </w:rPr>
            </w:pPr>
            <w:r>
              <w:rPr>
                <w:position w:val="-5"/>
              </w:rPr>
              <w:drawing>
                <wp:inline distT="0" distB="0" distL="0" distR="0">
                  <wp:extent cx="140207" cy="187451"/>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69"/>
                <w:sz w:val="20"/>
              </w:rPr>
              <w:t> </w:t>
            </w:r>
            <w:r>
              <w:rPr>
                <w:sz w:val="24"/>
              </w:rPr>
              <w:t>Urine</w:t>
            </w:r>
            <w:r>
              <w:rPr>
                <w:spacing w:val="-9"/>
                <w:sz w:val="24"/>
              </w:rPr>
              <w:t> </w:t>
            </w:r>
            <w:r>
              <w:rPr>
                <w:sz w:val="24"/>
              </w:rPr>
              <w:t>output/fluid</w:t>
            </w:r>
            <w:r>
              <w:rPr>
                <w:spacing w:val="-11"/>
                <w:sz w:val="24"/>
              </w:rPr>
              <w:t> </w:t>
            </w:r>
            <w:r>
              <w:rPr>
                <w:sz w:val="24"/>
              </w:rPr>
              <w:t>balance </w:t>
            </w:r>
            <w:r>
              <w:rPr>
                <w:spacing w:val="-1"/>
                <w:position w:val="-5"/>
                <w:sz w:val="24"/>
              </w:rPr>
              <w:drawing>
                <wp:inline distT="0" distB="0" distL="0" distR="0">
                  <wp:extent cx="140207" cy="187451"/>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9" cstate="print"/>
                          <a:stretch>
                            <a:fillRect/>
                          </a:stretch>
                        </pic:blipFill>
                        <pic:spPr>
                          <a:xfrm>
                            <a:off x="0" y="0"/>
                            <a:ext cx="140207" cy="187451"/>
                          </a:xfrm>
                          <a:prstGeom prst="rect">
                            <a:avLst/>
                          </a:prstGeom>
                        </pic:spPr>
                      </pic:pic>
                    </a:graphicData>
                  </a:graphic>
                </wp:inline>
              </w:drawing>
            </w:r>
            <w:r>
              <w:rPr>
                <w:spacing w:val="-1"/>
                <w:position w:val="-5"/>
                <w:sz w:val="24"/>
              </w:rPr>
            </w:r>
            <w:r>
              <w:rPr>
                <w:rFonts w:ascii="Times New Roman"/>
                <w:spacing w:val="40"/>
                <w:sz w:val="24"/>
              </w:rPr>
              <w:t> </w:t>
            </w:r>
            <w:r>
              <w:rPr>
                <w:sz w:val="24"/>
              </w:rPr>
              <w:t>Hourly urine output</w:t>
            </w:r>
          </w:p>
          <w:p>
            <w:pPr>
              <w:pStyle w:val="TableParagraph"/>
              <w:spacing w:line="333" w:lineRule="auto"/>
              <w:ind w:left="535" w:right="5483"/>
              <w:rPr>
                <w:sz w:val="24"/>
              </w:rPr>
            </w:pPr>
            <w:r>
              <w:rPr>
                <w:position w:val="-5"/>
              </w:rPr>
              <w:drawing>
                <wp:inline distT="0" distB="0" distL="0" distR="0">
                  <wp:extent cx="140207" cy="187451"/>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64"/>
                <w:sz w:val="20"/>
              </w:rPr>
              <w:t> </w:t>
            </w:r>
            <w:r>
              <w:rPr>
                <w:sz w:val="24"/>
              </w:rPr>
              <w:t>Pain</w:t>
            </w:r>
            <w:r>
              <w:rPr>
                <w:spacing w:val="-12"/>
                <w:sz w:val="24"/>
              </w:rPr>
              <w:t> </w:t>
            </w:r>
            <w:r>
              <w:rPr>
                <w:sz w:val="24"/>
              </w:rPr>
              <w:t>assessment </w:t>
            </w:r>
            <w:r>
              <w:rPr>
                <w:position w:val="-5"/>
                <w:sz w:val="24"/>
              </w:rPr>
              <w:drawing>
                <wp:inline distT="0" distB="0" distL="0" distR="0">
                  <wp:extent cx="140207" cy="187451"/>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Sepsis screen</w:t>
            </w:r>
          </w:p>
          <w:p>
            <w:pPr>
              <w:pStyle w:val="TableParagraph"/>
              <w:tabs>
                <w:tab w:pos="962" w:val="left" w:leader="none"/>
              </w:tabs>
              <w:ind w:left="535"/>
              <w:rPr>
                <w:sz w:val="24"/>
              </w:rPr>
            </w:pPr>
            <w:r>
              <w:rPr>
                <w:position w:val="-5"/>
              </w:rPr>
              <w:drawing>
                <wp:inline distT="0" distB="0" distL="0" distR="0">
                  <wp:extent cx="140207" cy="187451"/>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z w:val="20"/>
              </w:rPr>
              <w:tab/>
            </w:r>
            <w:r>
              <w:rPr>
                <w:sz w:val="24"/>
              </w:rPr>
              <w:t>Neurological</w:t>
            </w:r>
            <w:r>
              <w:rPr>
                <w:spacing w:val="-13"/>
                <w:sz w:val="24"/>
              </w:rPr>
              <w:t> </w:t>
            </w:r>
            <w:r>
              <w:rPr>
                <w:sz w:val="24"/>
              </w:rPr>
              <w:t>observation</w:t>
            </w:r>
            <w:r>
              <w:rPr>
                <w:spacing w:val="-13"/>
                <w:sz w:val="24"/>
              </w:rPr>
              <w:t> </w:t>
            </w:r>
            <w:r>
              <w:rPr>
                <w:sz w:val="24"/>
              </w:rPr>
              <w:t>chart</w:t>
            </w:r>
            <w:r>
              <w:rPr>
                <w:spacing w:val="-12"/>
                <w:sz w:val="24"/>
              </w:rPr>
              <w:t> </w:t>
            </w:r>
            <w:r>
              <w:rPr>
                <w:sz w:val="24"/>
              </w:rPr>
              <w:t>(Glasgow</w:t>
            </w:r>
            <w:r>
              <w:rPr>
                <w:spacing w:val="-15"/>
                <w:sz w:val="24"/>
              </w:rPr>
              <w:t> </w:t>
            </w:r>
            <w:r>
              <w:rPr>
                <w:sz w:val="24"/>
              </w:rPr>
              <w:t>Coma</w:t>
            </w:r>
            <w:r>
              <w:rPr>
                <w:spacing w:val="-14"/>
                <w:sz w:val="24"/>
              </w:rPr>
              <w:t> </w:t>
            </w:r>
            <w:r>
              <w:rPr>
                <w:spacing w:val="-2"/>
                <w:sz w:val="24"/>
              </w:rPr>
              <w:t>Score)</w:t>
            </w:r>
          </w:p>
          <w:p>
            <w:pPr>
              <w:pStyle w:val="TableParagraph"/>
              <w:spacing w:before="97"/>
              <w:ind w:left="535"/>
              <w:rPr>
                <w:sz w:val="24"/>
              </w:rPr>
            </w:pPr>
            <w:r>
              <w:rPr>
                <w:position w:val="-5"/>
              </w:rPr>
              <w:drawing>
                <wp:inline distT="0" distB="0" distL="0" distR="0">
                  <wp:extent cx="140207" cy="187451"/>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Weight</w:t>
            </w:r>
          </w:p>
          <w:p>
            <w:pPr>
              <w:pStyle w:val="TableParagraph"/>
              <w:spacing w:before="116"/>
              <w:ind w:left="175"/>
              <w:rPr>
                <w:sz w:val="24"/>
              </w:rPr>
            </w:pPr>
            <w:r>
              <w:rPr>
                <w:sz w:val="24"/>
              </w:rPr>
              <w:t>(this</w:t>
            </w:r>
            <w:r>
              <w:rPr>
                <w:spacing w:val="-3"/>
                <w:sz w:val="24"/>
              </w:rPr>
              <w:t> </w:t>
            </w:r>
            <w:r>
              <w:rPr>
                <w:sz w:val="24"/>
              </w:rPr>
              <w:t>is</w:t>
            </w:r>
            <w:r>
              <w:rPr>
                <w:spacing w:val="-2"/>
                <w:sz w:val="24"/>
              </w:rPr>
              <w:t> </w:t>
            </w:r>
            <w:r>
              <w:rPr>
                <w:sz w:val="24"/>
              </w:rPr>
              <w:t>not</w:t>
            </w:r>
            <w:r>
              <w:rPr>
                <w:spacing w:val="-4"/>
                <w:sz w:val="24"/>
              </w:rPr>
              <w:t> </w:t>
            </w:r>
            <w:r>
              <w:rPr>
                <w:sz w:val="24"/>
              </w:rPr>
              <w:t>an</w:t>
            </w:r>
            <w:r>
              <w:rPr>
                <w:spacing w:val="-4"/>
                <w:sz w:val="24"/>
              </w:rPr>
              <w:t> </w:t>
            </w:r>
            <w:r>
              <w:rPr>
                <w:sz w:val="24"/>
              </w:rPr>
              <w:t>exhaustive</w:t>
            </w:r>
            <w:r>
              <w:rPr>
                <w:spacing w:val="-2"/>
                <w:sz w:val="24"/>
              </w:rPr>
              <w:t> list)</w:t>
            </w:r>
          </w:p>
        </w:tc>
      </w:tr>
      <w:tr>
        <w:trPr>
          <w:trHeight w:val="1896" w:hRule="atLeast"/>
        </w:trPr>
        <w:tc>
          <w:tcPr>
            <w:tcW w:w="758" w:type="dxa"/>
          </w:tcPr>
          <w:p>
            <w:pPr>
              <w:pStyle w:val="TableParagraph"/>
              <w:spacing w:before="116"/>
              <w:ind w:right="122"/>
              <w:jc w:val="center"/>
              <w:rPr>
                <w:rFonts w:ascii="Arial"/>
                <w:b/>
                <w:sz w:val="24"/>
              </w:rPr>
            </w:pPr>
            <w:r>
              <w:rPr>
                <w:rFonts w:ascii="Arial"/>
                <w:b/>
                <w:spacing w:val="-2"/>
                <w:sz w:val="24"/>
              </w:rPr>
              <w:t>3.2.3</w:t>
            </w:r>
          </w:p>
        </w:tc>
        <w:tc>
          <w:tcPr>
            <w:tcW w:w="8370" w:type="dxa"/>
          </w:tcPr>
          <w:p>
            <w:pPr>
              <w:pStyle w:val="TableParagraph"/>
              <w:spacing w:before="116"/>
              <w:ind w:left="175" w:right="47"/>
              <w:jc w:val="both"/>
              <w:rPr>
                <w:sz w:val="24"/>
              </w:rPr>
            </w:pPr>
            <w:r>
              <w:rPr>
                <w:sz w:val="24"/>
              </w:rPr>
              <w:t>All adult patients admitted into the Foundation Trust, including those</w:t>
            </w:r>
            <w:r>
              <w:rPr>
                <w:spacing w:val="40"/>
                <w:sz w:val="24"/>
              </w:rPr>
              <w:t> </w:t>
            </w:r>
            <w:r>
              <w:rPr>
                <w:sz w:val="24"/>
              </w:rPr>
              <w:t>deemed medically fit or in a rehabilitation environment, must have observations undertaken </w:t>
            </w:r>
            <w:r>
              <w:rPr>
                <w:rFonts w:ascii="Arial"/>
                <w:b/>
                <w:sz w:val="24"/>
              </w:rPr>
              <w:t>12 hourly as a minimum standard </w:t>
            </w:r>
            <w:r>
              <w:rPr>
                <w:sz w:val="24"/>
              </w:rPr>
              <w:t>unless a decision has been made at a senior level</w:t>
            </w:r>
            <w:r>
              <w:rPr>
                <w:spacing w:val="40"/>
                <w:sz w:val="24"/>
              </w:rPr>
              <w:t> </w:t>
            </w:r>
            <w:r>
              <w:rPr>
                <w:sz w:val="24"/>
              </w:rPr>
              <w:t>to increase or decrease this frequency for an individual/group of patients.</w:t>
            </w:r>
            <w:r>
              <w:rPr>
                <w:spacing w:val="40"/>
                <w:sz w:val="24"/>
              </w:rPr>
              <w:t> </w:t>
            </w:r>
            <w:r>
              <w:rPr>
                <w:sz w:val="24"/>
              </w:rPr>
              <w:t>Any alteration to the minimum standard must be documented in the medical notes.</w:t>
            </w:r>
          </w:p>
        </w:tc>
      </w:tr>
      <w:tr>
        <w:trPr>
          <w:trHeight w:val="1344" w:hRule="atLeast"/>
        </w:trPr>
        <w:tc>
          <w:tcPr>
            <w:tcW w:w="758" w:type="dxa"/>
          </w:tcPr>
          <w:p>
            <w:pPr>
              <w:pStyle w:val="TableParagraph"/>
              <w:spacing w:before="116"/>
              <w:ind w:right="122"/>
              <w:jc w:val="center"/>
              <w:rPr>
                <w:rFonts w:ascii="Arial"/>
                <w:b/>
                <w:sz w:val="24"/>
              </w:rPr>
            </w:pPr>
            <w:r>
              <w:rPr>
                <w:rFonts w:ascii="Arial"/>
                <w:b/>
                <w:spacing w:val="-2"/>
                <w:sz w:val="24"/>
              </w:rPr>
              <w:t>3.2.4</w:t>
            </w:r>
          </w:p>
        </w:tc>
        <w:tc>
          <w:tcPr>
            <w:tcW w:w="8370" w:type="dxa"/>
          </w:tcPr>
          <w:p>
            <w:pPr>
              <w:pStyle w:val="TableParagraph"/>
              <w:spacing w:before="116"/>
              <w:ind w:left="175" w:right="56"/>
              <w:jc w:val="both"/>
              <w:rPr>
                <w:sz w:val="24"/>
              </w:rPr>
            </w:pPr>
            <w:r>
              <w:rPr>
                <w:sz w:val="24"/>
              </w:rPr>
              <w:t>Any</w:t>
            </w:r>
            <w:r>
              <w:rPr>
                <w:spacing w:val="-4"/>
                <w:sz w:val="24"/>
              </w:rPr>
              <w:t> </w:t>
            </w:r>
            <w:r>
              <w:rPr>
                <w:sz w:val="24"/>
              </w:rPr>
              <w:t>patients</w:t>
            </w:r>
            <w:r>
              <w:rPr>
                <w:spacing w:val="-4"/>
                <w:sz w:val="24"/>
              </w:rPr>
              <w:t> </w:t>
            </w:r>
            <w:r>
              <w:rPr>
                <w:sz w:val="24"/>
              </w:rPr>
              <w:t>following emergency</w:t>
            </w:r>
            <w:r>
              <w:rPr>
                <w:spacing w:val="-4"/>
                <w:sz w:val="24"/>
              </w:rPr>
              <w:t> </w:t>
            </w:r>
            <w:r>
              <w:rPr>
                <w:sz w:val="24"/>
              </w:rPr>
              <w:t>admission</w:t>
            </w:r>
            <w:r>
              <w:rPr>
                <w:spacing w:val="-6"/>
                <w:sz w:val="24"/>
              </w:rPr>
              <w:t> </w:t>
            </w:r>
            <w:r>
              <w:rPr>
                <w:sz w:val="24"/>
              </w:rPr>
              <w:t>or</w:t>
            </w:r>
            <w:r>
              <w:rPr>
                <w:spacing w:val="-3"/>
                <w:sz w:val="24"/>
              </w:rPr>
              <w:t> </w:t>
            </w:r>
            <w:r>
              <w:rPr>
                <w:sz w:val="24"/>
              </w:rPr>
              <w:t>inpatients</w:t>
            </w:r>
            <w:r>
              <w:rPr>
                <w:spacing w:val="-4"/>
                <w:sz w:val="24"/>
              </w:rPr>
              <w:t> </w:t>
            </w:r>
            <w:r>
              <w:rPr>
                <w:sz w:val="24"/>
              </w:rPr>
              <w:t>who</w:t>
            </w:r>
            <w:r>
              <w:rPr>
                <w:spacing w:val="-1"/>
                <w:sz w:val="24"/>
              </w:rPr>
              <w:t> </w:t>
            </w:r>
            <w:r>
              <w:rPr>
                <w:sz w:val="24"/>
              </w:rPr>
              <w:t>are</w:t>
            </w:r>
            <w:r>
              <w:rPr>
                <w:spacing w:val="-4"/>
                <w:sz w:val="24"/>
              </w:rPr>
              <w:t> </w:t>
            </w:r>
            <w:r>
              <w:rPr>
                <w:sz w:val="24"/>
              </w:rPr>
              <w:t>becoming acutely unwell must have their frequency of observations increased in accordance with the Trust MEWS Escalation Policy for the Management of Acutely ill Adult Patients, (and section 3.2.9 and 3.2.10 of this policy).</w:t>
            </w:r>
          </w:p>
        </w:tc>
      </w:tr>
      <w:tr>
        <w:trPr>
          <w:trHeight w:val="1560" w:hRule="atLeast"/>
        </w:trPr>
        <w:tc>
          <w:tcPr>
            <w:tcW w:w="758" w:type="dxa"/>
          </w:tcPr>
          <w:p>
            <w:pPr>
              <w:pStyle w:val="TableParagraph"/>
              <w:spacing w:before="116"/>
              <w:ind w:right="122"/>
              <w:jc w:val="center"/>
              <w:rPr>
                <w:rFonts w:ascii="Arial"/>
                <w:b/>
                <w:sz w:val="24"/>
              </w:rPr>
            </w:pPr>
            <w:r>
              <w:rPr>
                <w:rFonts w:ascii="Arial"/>
                <w:b/>
                <w:spacing w:val="-2"/>
                <w:sz w:val="24"/>
              </w:rPr>
              <w:t>3.2.5</w:t>
            </w:r>
          </w:p>
        </w:tc>
        <w:tc>
          <w:tcPr>
            <w:tcW w:w="8370" w:type="dxa"/>
          </w:tcPr>
          <w:p>
            <w:pPr>
              <w:pStyle w:val="TableParagraph"/>
              <w:spacing w:before="116"/>
              <w:ind w:left="175" w:right="48"/>
              <w:jc w:val="both"/>
              <w:rPr>
                <w:sz w:val="24"/>
              </w:rPr>
            </w:pPr>
            <w:r>
              <w:rPr>
                <w:sz w:val="24"/>
              </w:rPr>
              <w:t>Any patient admitted via the Accident and Emergency Department</w:t>
            </w:r>
            <w:r>
              <w:rPr>
                <w:sz w:val="24"/>
              </w:rPr>
              <w:t> must have</w:t>
            </w:r>
            <w:r>
              <w:rPr>
                <w:sz w:val="24"/>
              </w:rPr>
              <w:t> their</w:t>
            </w:r>
            <w:r>
              <w:rPr>
                <w:sz w:val="24"/>
              </w:rPr>
              <w:t> observations</w:t>
            </w:r>
            <w:r>
              <w:rPr>
                <w:sz w:val="24"/>
              </w:rPr>
              <w:t> recorded</w:t>
            </w:r>
            <w:r>
              <w:rPr>
                <w:sz w:val="24"/>
              </w:rPr>
              <w:t> a</w:t>
            </w:r>
            <w:r>
              <w:rPr>
                <w:sz w:val="24"/>
              </w:rPr>
              <w:t> </w:t>
            </w:r>
            <w:r>
              <w:rPr>
                <w:rFonts w:ascii="Arial" w:hAnsi="Arial"/>
                <w:b/>
                <w:sz w:val="24"/>
              </w:rPr>
              <w:t>minimum</w:t>
            </w:r>
            <w:r>
              <w:rPr>
                <w:rFonts w:ascii="Arial" w:hAnsi="Arial"/>
                <w:b/>
                <w:sz w:val="24"/>
              </w:rPr>
              <w:t> of</w:t>
            </w:r>
            <w:r>
              <w:rPr>
                <w:rFonts w:ascii="Arial" w:hAnsi="Arial"/>
                <w:b/>
                <w:sz w:val="24"/>
              </w:rPr>
              <w:t> 4</w:t>
            </w:r>
            <w:r>
              <w:rPr>
                <w:rFonts w:ascii="Arial" w:hAnsi="Arial"/>
                <w:b/>
                <w:sz w:val="24"/>
              </w:rPr>
              <w:t> hourly</w:t>
            </w:r>
            <w:r>
              <w:rPr>
                <w:rFonts w:ascii="Arial" w:hAnsi="Arial"/>
                <w:b/>
                <w:sz w:val="24"/>
              </w:rPr>
              <w:t> </w:t>
            </w:r>
            <w:r>
              <w:rPr>
                <w:sz w:val="24"/>
              </w:rPr>
              <w:t>for</w:t>
            </w:r>
            <w:r>
              <w:rPr>
                <w:sz w:val="24"/>
              </w:rPr>
              <w:t> the</w:t>
            </w:r>
            <w:r>
              <w:rPr>
                <w:sz w:val="24"/>
              </w:rPr>
              <w:t> first</w:t>
            </w:r>
            <w:r>
              <w:rPr>
                <w:sz w:val="24"/>
              </w:rPr>
              <w:t> 24 hours of admission unless specified otherwise by</w:t>
            </w:r>
            <w:r>
              <w:rPr>
                <w:spacing w:val="-1"/>
                <w:sz w:val="24"/>
              </w:rPr>
              <w:t> </w:t>
            </w:r>
            <w:r>
              <w:rPr>
                <w:sz w:val="24"/>
              </w:rPr>
              <w:t>ST3 level and above.</w:t>
            </w:r>
            <w:r>
              <w:rPr>
                <w:spacing w:val="40"/>
                <w:sz w:val="24"/>
              </w:rPr>
              <w:t> </w:t>
            </w:r>
            <w:r>
              <w:rPr>
                <w:sz w:val="24"/>
              </w:rPr>
              <w:t>Any variance to this minimum standard must be documented clearly in the patients’ medical notes.</w:t>
            </w:r>
          </w:p>
        </w:tc>
      </w:tr>
      <w:tr>
        <w:trPr>
          <w:trHeight w:val="1083" w:hRule="atLeast"/>
        </w:trPr>
        <w:tc>
          <w:tcPr>
            <w:tcW w:w="758" w:type="dxa"/>
          </w:tcPr>
          <w:p>
            <w:pPr>
              <w:pStyle w:val="TableParagraph"/>
              <w:spacing w:before="176"/>
              <w:ind w:right="122"/>
              <w:jc w:val="center"/>
              <w:rPr>
                <w:rFonts w:ascii="Arial"/>
                <w:b/>
                <w:sz w:val="24"/>
              </w:rPr>
            </w:pPr>
            <w:r>
              <w:rPr>
                <w:rFonts w:ascii="Arial"/>
                <w:b/>
                <w:spacing w:val="-2"/>
                <w:sz w:val="24"/>
              </w:rPr>
              <w:t>3.2.6</w:t>
            </w:r>
          </w:p>
        </w:tc>
        <w:tc>
          <w:tcPr>
            <w:tcW w:w="8370" w:type="dxa"/>
          </w:tcPr>
          <w:p>
            <w:pPr>
              <w:pStyle w:val="TableParagraph"/>
              <w:spacing w:before="56"/>
              <w:ind w:left="175"/>
              <w:rPr>
                <w:sz w:val="24"/>
              </w:rPr>
            </w:pPr>
            <w:r>
              <w:rPr>
                <w:sz w:val="24"/>
              </w:rPr>
              <w:t>Patients</w:t>
            </w:r>
            <w:r>
              <w:rPr>
                <w:spacing w:val="-4"/>
                <w:sz w:val="24"/>
              </w:rPr>
              <w:t> </w:t>
            </w:r>
            <w:r>
              <w:rPr>
                <w:sz w:val="24"/>
              </w:rPr>
              <w:t>discharged</w:t>
            </w:r>
            <w:r>
              <w:rPr>
                <w:spacing w:val="-6"/>
                <w:sz w:val="24"/>
              </w:rPr>
              <w:t> </w:t>
            </w:r>
            <w:r>
              <w:rPr>
                <w:sz w:val="24"/>
              </w:rPr>
              <w:t>from</w:t>
            </w:r>
            <w:r>
              <w:rPr>
                <w:spacing w:val="-3"/>
                <w:sz w:val="24"/>
              </w:rPr>
              <w:t> </w:t>
            </w:r>
            <w:r>
              <w:rPr>
                <w:sz w:val="24"/>
              </w:rPr>
              <w:t>a</w:t>
            </w:r>
            <w:r>
              <w:rPr>
                <w:spacing w:val="-5"/>
                <w:sz w:val="24"/>
              </w:rPr>
              <w:t> </w:t>
            </w:r>
            <w:r>
              <w:rPr>
                <w:sz w:val="24"/>
              </w:rPr>
              <w:t>higher</w:t>
            </w:r>
            <w:r>
              <w:rPr>
                <w:spacing w:val="-4"/>
                <w:sz w:val="24"/>
              </w:rPr>
              <w:t> </w:t>
            </w:r>
            <w:r>
              <w:rPr>
                <w:sz w:val="24"/>
              </w:rPr>
              <w:t>level</w:t>
            </w:r>
            <w:r>
              <w:rPr>
                <w:spacing w:val="-4"/>
                <w:sz w:val="24"/>
              </w:rPr>
              <w:t> </w:t>
            </w:r>
            <w:r>
              <w:rPr>
                <w:sz w:val="24"/>
              </w:rPr>
              <w:t>of</w:t>
            </w:r>
            <w:r>
              <w:rPr>
                <w:spacing w:val="-2"/>
                <w:sz w:val="24"/>
              </w:rPr>
              <w:t> </w:t>
            </w:r>
            <w:r>
              <w:rPr>
                <w:sz w:val="24"/>
              </w:rPr>
              <w:t>care,</w:t>
            </w:r>
            <w:r>
              <w:rPr>
                <w:spacing w:val="-4"/>
                <w:sz w:val="24"/>
              </w:rPr>
              <w:t> </w:t>
            </w:r>
            <w:r>
              <w:rPr>
                <w:sz w:val="24"/>
              </w:rPr>
              <w:t>i.e.</w:t>
            </w:r>
            <w:r>
              <w:rPr>
                <w:spacing w:val="-6"/>
                <w:sz w:val="24"/>
              </w:rPr>
              <w:t> </w:t>
            </w:r>
            <w:r>
              <w:rPr>
                <w:sz w:val="24"/>
              </w:rPr>
              <w:t>ICU/HDU,</w:t>
            </w:r>
            <w:r>
              <w:rPr>
                <w:spacing w:val="-4"/>
                <w:sz w:val="24"/>
              </w:rPr>
              <w:t> </w:t>
            </w:r>
            <w:r>
              <w:rPr>
                <w:sz w:val="24"/>
              </w:rPr>
              <w:t>will</w:t>
            </w:r>
            <w:r>
              <w:rPr>
                <w:spacing w:val="-4"/>
                <w:sz w:val="24"/>
              </w:rPr>
              <w:t> </w:t>
            </w:r>
            <w:r>
              <w:rPr>
                <w:sz w:val="24"/>
              </w:rPr>
              <w:t>have</w:t>
            </w:r>
            <w:r>
              <w:rPr>
                <w:spacing w:val="-4"/>
                <w:sz w:val="24"/>
              </w:rPr>
              <w:t> </w:t>
            </w:r>
            <w:r>
              <w:rPr>
                <w:sz w:val="24"/>
              </w:rPr>
              <w:t>their observations recorded </w:t>
            </w:r>
            <w:r>
              <w:rPr>
                <w:rFonts w:ascii="Arial"/>
                <w:b/>
                <w:sz w:val="24"/>
              </w:rPr>
              <w:t>a minimum of 4 hourly </w:t>
            </w:r>
            <w:r>
              <w:rPr>
                <w:sz w:val="24"/>
              </w:rPr>
              <w:t>and a strict fluid input and output chart, for the first </w:t>
            </w:r>
            <w:r>
              <w:rPr>
                <w:rFonts w:ascii="Arial"/>
                <w:b/>
                <w:sz w:val="24"/>
              </w:rPr>
              <w:t>48 hours </w:t>
            </w:r>
            <w:r>
              <w:rPr>
                <w:sz w:val="24"/>
              </w:rPr>
              <w:t>on a general ward.</w:t>
            </w:r>
          </w:p>
        </w:tc>
      </w:tr>
      <w:tr>
        <w:trPr>
          <w:trHeight w:val="2038" w:hRule="atLeast"/>
        </w:trPr>
        <w:tc>
          <w:tcPr>
            <w:tcW w:w="758" w:type="dxa"/>
          </w:tcPr>
          <w:p>
            <w:pPr>
              <w:pStyle w:val="TableParagraph"/>
              <w:spacing w:before="194"/>
              <w:ind w:right="122"/>
              <w:jc w:val="center"/>
              <w:rPr>
                <w:rFonts w:ascii="Arial"/>
                <w:b/>
                <w:sz w:val="24"/>
              </w:rPr>
            </w:pPr>
            <w:r>
              <w:rPr>
                <w:rFonts w:ascii="Arial"/>
                <w:b/>
                <w:spacing w:val="-2"/>
                <w:sz w:val="24"/>
              </w:rPr>
              <w:t>3.2.7</w:t>
            </w:r>
          </w:p>
        </w:tc>
        <w:tc>
          <w:tcPr>
            <w:tcW w:w="8370" w:type="dxa"/>
          </w:tcPr>
          <w:p>
            <w:pPr>
              <w:pStyle w:val="TableParagraph"/>
              <w:spacing w:before="275"/>
              <w:ind w:left="175" w:right="48"/>
              <w:jc w:val="both"/>
              <w:rPr>
                <w:sz w:val="24"/>
              </w:rPr>
            </w:pPr>
            <w:r>
              <w:rPr>
                <w:sz w:val="24"/>
              </w:rPr>
              <w:t>A clear monitoring and management plan which also specifies frequency</w:t>
            </w:r>
            <w:r>
              <w:rPr>
                <w:spacing w:val="40"/>
                <w:sz w:val="24"/>
              </w:rPr>
              <w:t> </w:t>
            </w:r>
            <w:r>
              <w:rPr>
                <w:sz w:val="24"/>
              </w:rPr>
              <w:t>and type of observations to be recorded, must be completed by the</w:t>
            </w:r>
            <w:r>
              <w:rPr>
                <w:spacing w:val="40"/>
                <w:sz w:val="24"/>
              </w:rPr>
              <w:t> </w:t>
            </w:r>
            <w:r>
              <w:rPr>
                <w:sz w:val="24"/>
              </w:rPr>
              <w:t>admitting or reviewing medical practitioner.</w:t>
            </w:r>
            <w:r>
              <w:rPr>
                <w:spacing w:val="40"/>
                <w:sz w:val="24"/>
              </w:rPr>
              <w:t> </w:t>
            </w:r>
            <w:r>
              <w:rPr>
                <w:sz w:val="24"/>
              </w:rPr>
              <w:t>This must be done on initial assessment or admission and written clearly in the patients medical notes. The plan should take into account the patients diagnosis, agreed treatment plan and presence of co morbidities.</w:t>
            </w:r>
          </w:p>
        </w:tc>
      </w:tr>
      <w:tr>
        <w:trPr>
          <w:trHeight w:val="2894" w:hRule="atLeast"/>
        </w:trPr>
        <w:tc>
          <w:tcPr>
            <w:tcW w:w="758" w:type="dxa"/>
          </w:tcPr>
          <w:p>
            <w:pPr>
              <w:pStyle w:val="TableParagraph"/>
              <w:spacing w:before="215"/>
              <w:ind w:right="122"/>
              <w:jc w:val="center"/>
              <w:rPr>
                <w:rFonts w:ascii="Arial"/>
                <w:b/>
                <w:sz w:val="24"/>
              </w:rPr>
            </w:pPr>
            <w:r>
              <w:rPr>
                <w:rFonts w:ascii="Arial"/>
                <w:b/>
                <w:spacing w:val="-2"/>
                <w:sz w:val="24"/>
              </w:rPr>
              <w:t>3.2.8</w:t>
            </w:r>
          </w:p>
        </w:tc>
        <w:tc>
          <w:tcPr>
            <w:tcW w:w="8370" w:type="dxa"/>
          </w:tcPr>
          <w:p>
            <w:pPr>
              <w:pStyle w:val="TableParagraph"/>
              <w:spacing w:before="95"/>
              <w:ind w:left="175" w:right="103"/>
              <w:rPr>
                <w:sz w:val="24"/>
              </w:rPr>
            </w:pPr>
            <w:r>
              <w:rPr>
                <w:sz w:val="24"/>
              </w:rPr>
              <w:t>Exceptions to this minimum standard must be considered at an early stage and established for patients who are acutely ill but will not benefit from an escalation of therapy beyond ward based care, any decisions must be clearly documented in the medical notes.</w:t>
            </w:r>
            <w:r>
              <w:rPr>
                <w:spacing w:val="40"/>
                <w:sz w:val="24"/>
              </w:rPr>
              <w:t> </w:t>
            </w:r>
            <w:r>
              <w:rPr>
                <w:sz w:val="24"/>
              </w:rPr>
              <w:t>If a decision has been made that therapy will not be escalated beyond ward based care and, even with maximum</w:t>
            </w:r>
            <w:r>
              <w:rPr>
                <w:spacing w:val="-5"/>
                <w:sz w:val="24"/>
              </w:rPr>
              <w:t> </w:t>
            </w:r>
            <w:r>
              <w:rPr>
                <w:sz w:val="24"/>
              </w:rPr>
              <w:t>medical</w:t>
            </w:r>
            <w:r>
              <w:rPr>
                <w:spacing w:val="-6"/>
                <w:sz w:val="24"/>
              </w:rPr>
              <w:t> </w:t>
            </w:r>
            <w:r>
              <w:rPr>
                <w:sz w:val="24"/>
              </w:rPr>
              <w:t>management,</w:t>
            </w:r>
            <w:r>
              <w:rPr>
                <w:spacing w:val="40"/>
                <w:sz w:val="24"/>
              </w:rPr>
              <w:t> </w:t>
            </w:r>
            <w:r>
              <w:rPr>
                <w:sz w:val="24"/>
              </w:rPr>
              <w:t>the</w:t>
            </w:r>
            <w:r>
              <w:rPr>
                <w:spacing w:val="-4"/>
                <w:sz w:val="24"/>
              </w:rPr>
              <w:t> </w:t>
            </w:r>
            <w:r>
              <w:rPr>
                <w:sz w:val="24"/>
              </w:rPr>
              <w:t>patient</w:t>
            </w:r>
            <w:r>
              <w:rPr>
                <w:spacing w:val="-6"/>
                <w:sz w:val="24"/>
              </w:rPr>
              <w:t> </w:t>
            </w:r>
            <w:r>
              <w:rPr>
                <w:sz w:val="24"/>
              </w:rPr>
              <w:t>continues</w:t>
            </w:r>
            <w:r>
              <w:rPr>
                <w:spacing w:val="-4"/>
                <w:sz w:val="24"/>
              </w:rPr>
              <w:t> </w:t>
            </w:r>
            <w:r>
              <w:rPr>
                <w:sz w:val="24"/>
              </w:rPr>
              <w:t>to</w:t>
            </w:r>
            <w:r>
              <w:rPr>
                <w:spacing w:val="-4"/>
                <w:sz w:val="24"/>
              </w:rPr>
              <w:t> </w:t>
            </w:r>
            <w:r>
              <w:rPr>
                <w:sz w:val="24"/>
              </w:rPr>
              <w:t>deteriorate</w:t>
            </w:r>
            <w:r>
              <w:rPr>
                <w:spacing w:val="-4"/>
                <w:sz w:val="24"/>
              </w:rPr>
              <w:t> </w:t>
            </w:r>
            <w:r>
              <w:rPr>
                <w:sz w:val="24"/>
              </w:rPr>
              <w:t>then</w:t>
            </w:r>
            <w:r>
              <w:rPr>
                <w:spacing w:val="-6"/>
                <w:sz w:val="24"/>
              </w:rPr>
              <w:t> </w:t>
            </w:r>
            <w:r>
              <w:rPr>
                <w:sz w:val="24"/>
              </w:rPr>
              <w:t>a decision must be made:</w:t>
            </w:r>
          </w:p>
          <w:p>
            <w:pPr>
              <w:pStyle w:val="TableParagraph"/>
              <w:spacing w:before="18"/>
              <w:rPr>
                <w:rFonts w:ascii="Arial"/>
                <w:b/>
                <w:sz w:val="24"/>
              </w:rPr>
            </w:pPr>
          </w:p>
          <w:p>
            <w:pPr>
              <w:pStyle w:val="TableParagraph"/>
              <w:ind w:left="830"/>
              <w:rPr>
                <w:sz w:val="24"/>
              </w:rPr>
            </w:pPr>
            <w:r>
              <w:rPr>
                <w:sz w:val="24"/>
              </w:rPr>
              <mc:AlternateContent>
                <mc:Choice Requires="wps">
                  <w:drawing>
                    <wp:anchor distT="0" distB="0" distL="0" distR="0" allowOverlap="1" layoutInCell="1" locked="0" behindDoc="1" simplePos="0" relativeHeight="486515712">
                      <wp:simplePos x="0" y="0"/>
                      <wp:positionH relativeFrom="column">
                        <wp:posOffset>298364</wp:posOffset>
                      </wp:positionH>
                      <wp:positionV relativeFrom="paragraph">
                        <wp:posOffset>-9450</wp:posOffset>
                      </wp:positionV>
                      <wp:extent cx="140335" cy="37338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40335" cy="373380"/>
                                <a:chExt cx="140335" cy="373380"/>
                              </a:xfrm>
                            </wpg:grpSpPr>
                            <pic:pic>
                              <pic:nvPicPr>
                                <pic:cNvPr id="35" name="Image 35"/>
                                <pic:cNvPicPr/>
                              </pic:nvPicPr>
                              <pic:blipFill>
                                <a:blip r:embed="rId12" cstate="print"/>
                                <a:stretch>
                                  <a:fillRect/>
                                </a:stretch>
                              </pic:blipFill>
                              <pic:spPr>
                                <a:xfrm>
                                  <a:off x="0" y="0"/>
                                  <a:ext cx="140207" cy="373379"/>
                                </a:xfrm>
                                <a:prstGeom prst="rect">
                                  <a:avLst/>
                                </a:prstGeom>
                              </pic:spPr>
                            </pic:pic>
                          </wpg:wgp>
                        </a:graphicData>
                      </a:graphic>
                    </wp:anchor>
                  </w:drawing>
                </mc:Choice>
                <mc:Fallback>
                  <w:pict>
                    <v:group style="position:absolute;margin-left:23.493273pt;margin-top:-.744141pt;width:11.05pt;height:29.4pt;mso-position-horizontal-relative:column;mso-position-vertical-relative:paragraph;z-index:-16800768" id="docshapegroup4" coordorigin="470,-15" coordsize="221,588">
                      <v:shape style="position:absolute;left:469;top:-15;width:221;height:588" type="#_x0000_t75" id="docshape5" stroked="false">
                        <v:imagedata r:id="rId12" o:title=""/>
                      </v:shape>
                      <w10:wrap type="none"/>
                    </v:group>
                  </w:pict>
                </mc:Fallback>
              </mc:AlternateContent>
            </w:r>
            <w:r>
              <w:rPr>
                <w:sz w:val="24"/>
              </w:rPr>
              <w:t>on</w:t>
            </w:r>
            <w:r>
              <w:rPr>
                <w:spacing w:val="-4"/>
                <w:sz w:val="24"/>
              </w:rPr>
              <w:t> </w:t>
            </w:r>
            <w:r>
              <w:rPr>
                <w:sz w:val="24"/>
              </w:rPr>
              <w:t>the</w:t>
            </w:r>
            <w:r>
              <w:rPr>
                <w:spacing w:val="-6"/>
                <w:sz w:val="24"/>
              </w:rPr>
              <w:t> </w:t>
            </w:r>
            <w:r>
              <w:rPr>
                <w:sz w:val="24"/>
              </w:rPr>
              <w:t>patients</w:t>
            </w:r>
            <w:r>
              <w:rPr>
                <w:spacing w:val="-4"/>
                <w:sz w:val="24"/>
              </w:rPr>
              <w:t> </w:t>
            </w:r>
            <w:r>
              <w:rPr>
                <w:sz w:val="24"/>
              </w:rPr>
              <w:t>resuscitation</w:t>
            </w:r>
            <w:r>
              <w:rPr>
                <w:spacing w:val="-5"/>
                <w:sz w:val="24"/>
              </w:rPr>
              <w:t> </w:t>
            </w:r>
            <w:r>
              <w:rPr>
                <w:spacing w:val="-2"/>
                <w:sz w:val="24"/>
              </w:rPr>
              <w:t>status</w:t>
            </w:r>
          </w:p>
          <w:p>
            <w:pPr>
              <w:pStyle w:val="TableParagraph"/>
              <w:spacing w:line="260" w:lineRule="exact" w:before="17"/>
              <w:ind w:left="830"/>
              <w:rPr>
                <w:sz w:val="24"/>
              </w:rPr>
            </w:pPr>
            <w:r>
              <w:rPr>
                <w:sz w:val="24"/>
              </w:rPr>
              <w:t>or</w:t>
            </w:r>
            <w:r>
              <w:rPr>
                <w:spacing w:val="-2"/>
                <w:sz w:val="24"/>
              </w:rPr>
              <w:t> </w:t>
            </w:r>
            <w:r>
              <w:rPr>
                <w:sz w:val="24"/>
              </w:rPr>
              <w:t>to</w:t>
            </w:r>
            <w:r>
              <w:rPr>
                <w:spacing w:val="-2"/>
                <w:sz w:val="24"/>
              </w:rPr>
              <w:t> </w:t>
            </w:r>
            <w:r>
              <w:rPr>
                <w:sz w:val="24"/>
              </w:rPr>
              <w:t>commence</w:t>
            </w:r>
            <w:r>
              <w:rPr>
                <w:spacing w:val="61"/>
                <w:sz w:val="24"/>
              </w:rPr>
              <w:t> </w:t>
            </w:r>
            <w:r>
              <w:rPr>
                <w:sz w:val="24"/>
              </w:rPr>
              <w:t>the</w:t>
            </w:r>
            <w:r>
              <w:rPr>
                <w:spacing w:val="59"/>
                <w:sz w:val="24"/>
              </w:rPr>
              <w:t> </w:t>
            </w:r>
            <w:r>
              <w:rPr>
                <w:sz w:val="24"/>
              </w:rPr>
              <w:t>Trust</w:t>
            </w:r>
            <w:r>
              <w:rPr>
                <w:spacing w:val="-2"/>
                <w:sz w:val="24"/>
              </w:rPr>
              <w:t> </w:t>
            </w:r>
            <w:r>
              <w:rPr>
                <w:sz w:val="24"/>
              </w:rPr>
              <w:t>Care</w:t>
            </w:r>
            <w:r>
              <w:rPr>
                <w:spacing w:val="-2"/>
                <w:sz w:val="24"/>
              </w:rPr>
              <w:t> </w:t>
            </w:r>
            <w:r>
              <w:rPr>
                <w:sz w:val="24"/>
              </w:rPr>
              <w:t>of</w:t>
            </w:r>
            <w:r>
              <w:rPr>
                <w:spacing w:val="-2"/>
                <w:sz w:val="24"/>
              </w:rPr>
              <w:t> </w:t>
            </w:r>
            <w:r>
              <w:rPr>
                <w:sz w:val="24"/>
              </w:rPr>
              <w:t>the</w:t>
            </w:r>
            <w:r>
              <w:rPr>
                <w:spacing w:val="-2"/>
                <w:sz w:val="24"/>
              </w:rPr>
              <w:t> </w:t>
            </w:r>
            <w:r>
              <w:rPr>
                <w:sz w:val="24"/>
              </w:rPr>
              <w:t>Dying</w:t>
            </w:r>
            <w:r>
              <w:rPr>
                <w:spacing w:val="-3"/>
                <w:sz w:val="24"/>
              </w:rPr>
              <w:t> </w:t>
            </w:r>
            <w:r>
              <w:rPr>
                <w:spacing w:val="-2"/>
                <w:sz w:val="24"/>
              </w:rPr>
              <w:t>Pathway</w:t>
            </w:r>
          </w:p>
        </w:tc>
      </w:tr>
    </w:tbl>
    <w:p>
      <w:pPr>
        <w:pStyle w:val="TableParagraph"/>
        <w:spacing w:after="0" w:line="260" w:lineRule="exact"/>
        <w:rPr>
          <w:sz w:val="24"/>
        </w:rPr>
        <w:sectPr>
          <w:pgSz w:w="11910" w:h="16840"/>
          <w:pgMar w:header="0" w:footer="955" w:top="680" w:bottom="1140" w:left="425" w:right="566"/>
        </w:sect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6"/>
        <w:gridCol w:w="8301"/>
      </w:tblGrid>
      <w:tr>
        <w:trPr>
          <w:trHeight w:val="962" w:hRule="atLeast"/>
        </w:trPr>
        <w:tc>
          <w:tcPr>
            <w:tcW w:w="826" w:type="dxa"/>
          </w:tcPr>
          <w:p>
            <w:pPr>
              <w:pStyle w:val="TableParagraph"/>
              <w:rPr>
                <w:rFonts w:ascii="Times New Roman"/>
                <w:sz w:val="22"/>
              </w:rPr>
            </w:pPr>
          </w:p>
        </w:tc>
        <w:tc>
          <w:tcPr>
            <w:tcW w:w="8301" w:type="dxa"/>
          </w:tcPr>
          <w:p>
            <w:pPr>
              <w:pStyle w:val="TableParagraph"/>
              <w:ind w:left="107"/>
              <w:rPr>
                <w:sz w:val="24"/>
              </w:rPr>
            </w:pPr>
            <w:r>
              <w:rPr>
                <w:sz w:val="24"/>
              </w:rPr>
              <w:t>Please</w:t>
            </w:r>
            <w:r>
              <w:rPr>
                <w:spacing w:val="-4"/>
                <w:sz w:val="24"/>
              </w:rPr>
              <w:t> </w:t>
            </w:r>
            <w:r>
              <w:rPr>
                <w:sz w:val="24"/>
              </w:rPr>
              <w:t>refer</w:t>
            </w:r>
            <w:r>
              <w:rPr>
                <w:spacing w:val="-4"/>
                <w:sz w:val="24"/>
              </w:rPr>
              <w:t> </w:t>
            </w:r>
            <w:r>
              <w:rPr>
                <w:sz w:val="24"/>
              </w:rPr>
              <w:t>to</w:t>
            </w:r>
            <w:r>
              <w:rPr>
                <w:spacing w:val="-4"/>
                <w:sz w:val="24"/>
              </w:rPr>
              <w:t> </w:t>
            </w:r>
            <w:r>
              <w:rPr>
                <w:sz w:val="24"/>
              </w:rPr>
              <w:t>the</w:t>
            </w:r>
            <w:r>
              <w:rPr>
                <w:spacing w:val="-6"/>
                <w:sz w:val="24"/>
              </w:rPr>
              <w:t> </w:t>
            </w:r>
            <w:r>
              <w:rPr>
                <w:sz w:val="24"/>
              </w:rPr>
              <w:t>Trust</w:t>
            </w:r>
            <w:r>
              <w:rPr>
                <w:spacing w:val="-4"/>
                <w:sz w:val="24"/>
              </w:rPr>
              <w:t> </w:t>
            </w:r>
            <w:r>
              <w:rPr>
                <w:sz w:val="24"/>
              </w:rPr>
              <w:t>Resuscitation</w:t>
            </w:r>
            <w:r>
              <w:rPr>
                <w:spacing w:val="-6"/>
                <w:sz w:val="24"/>
              </w:rPr>
              <w:t> </w:t>
            </w:r>
            <w:r>
              <w:rPr>
                <w:sz w:val="24"/>
              </w:rPr>
              <w:t>Policy</w:t>
            </w:r>
            <w:r>
              <w:rPr>
                <w:spacing w:val="-7"/>
                <w:sz w:val="24"/>
              </w:rPr>
              <w:t> </w:t>
            </w:r>
            <w:r>
              <w:rPr>
                <w:sz w:val="24"/>
              </w:rPr>
              <w:t>and</w:t>
            </w:r>
            <w:r>
              <w:rPr>
                <w:spacing w:val="-6"/>
                <w:sz w:val="24"/>
              </w:rPr>
              <w:t> </w:t>
            </w:r>
            <w:r>
              <w:rPr>
                <w:sz w:val="24"/>
              </w:rPr>
              <w:t>Do</w:t>
            </w:r>
            <w:r>
              <w:rPr>
                <w:spacing w:val="-4"/>
                <w:sz w:val="24"/>
              </w:rPr>
              <w:t> </w:t>
            </w:r>
            <w:r>
              <w:rPr>
                <w:sz w:val="24"/>
              </w:rPr>
              <w:t>Not</w:t>
            </w:r>
            <w:r>
              <w:rPr>
                <w:spacing w:val="-6"/>
                <w:sz w:val="24"/>
              </w:rPr>
              <w:t> </w:t>
            </w:r>
            <w:r>
              <w:rPr>
                <w:sz w:val="24"/>
              </w:rPr>
              <w:t>Attempt Resuscitation Policy on the Trust Intranet. </w:t>
            </w:r>
            <w:hyperlink r:id="rId11">
              <w:r>
                <w:rPr>
                  <w:color w:val="0000FF"/>
                  <w:sz w:val="24"/>
                  <w:u w:val="single" w:color="0000FF"/>
                </w:rPr>
                <w:t>http://uhsm-</w:t>
              </w:r>
            </w:hyperlink>
            <w:r>
              <w:rPr>
                <w:color w:val="0000FF"/>
                <w:sz w:val="24"/>
              </w:rPr>
              <w:t> </w:t>
            </w:r>
            <w:hyperlink r:id="rId11">
              <w:r>
                <w:rPr>
                  <w:color w:val="0000FF"/>
                  <w:spacing w:val="-2"/>
                  <w:sz w:val="24"/>
                  <w:u w:val="single" w:color="0000FF"/>
                </w:rPr>
                <w:t>intranet/policies/Pages/default.aspx</w:t>
              </w:r>
            </w:hyperlink>
          </w:p>
        </w:tc>
      </w:tr>
      <w:tr>
        <w:trPr>
          <w:trHeight w:val="4338" w:hRule="atLeast"/>
        </w:trPr>
        <w:tc>
          <w:tcPr>
            <w:tcW w:w="826" w:type="dxa"/>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62"/>
              <w:rPr>
                <w:rFonts w:ascii="Arial"/>
                <w:b/>
                <w:sz w:val="24"/>
              </w:rPr>
            </w:pPr>
          </w:p>
          <w:p>
            <w:pPr>
              <w:pStyle w:val="TableParagraph"/>
              <w:ind w:left="50"/>
              <w:rPr>
                <w:rFonts w:ascii="Arial"/>
                <w:b/>
                <w:sz w:val="24"/>
              </w:rPr>
            </w:pPr>
            <w:r>
              <w:rPr>
                <w:rFonts w:ascii="Arial"/>
                <w:b/>
                <w:spacing w:val="-2"/>
                <w:sz w:val="24"/>
              </w:rPr>
              <w:t>3.2.9</w:t>
            </w:r>
          </w:p>
        </w:tc>
        <w:tc>
          <w:tcPr>
            <w:tcW w:w="8301" w:type="dxa"/>
          </w:tcPr>
          <w:p>
            <w:pPr>
              <w:pStyle w:val="TableParagraph"/>
              <w:spacing w:before="134"/>
              <w:ind w:left="107"/>
              <w:rPr>
                <w:sz w:val="24"/>
              </w:rPr>
            </w:pPr>
            <w:r>
              <w:rPr>
                <w:sz w:val="24"/>
              </w:rPr>
              <w:t>NCEPOD</w:t>
            </w:r>
            <w:r>
              <w:rPr>
                <w:spacing w:val="-5"/>
                <w:sz w:val="24"/>
              </w:rPr>
              <w:t> </w:t>
            </w:r>
            <w:r>
              <w:rPr>
                <w:sz w:val="24"/>
              </w:rPr>
              <w:t>have</w:t>
            </w:r>
            <w:r>
              <w:rPr>
                <w:spacing w:val="-2"/>
                <w:sz w:val="24"/>
              </w:rPr>
              <w:t> </w:t>
            </w:r>
            <w:r>
              <w:rPr>
                <w:sz w:val="24"/>
              </w:rPr>
              <w:t>also</w:t>
            </w:r>
            <w:r>
              <w:rPr>
                <w:spacing w:val="-7"/>
                <w:sz w:val="24"/>
              </w:rPr>
              <w:t> </w:t>
            </w:r>
            <w:r>
              <w:rPr>
                <w:sz w:val="24"/>
              </w:rPr>
              <w:t>produced</w:t>
            </w:r>
            <w:r>
              <w:rPr>
                <w:spacing w:val="-5"/>
                <w:sz w:val="24"/>
              </w:rPr>
              <w:t> </w:t>
            </w:r>
            <w:r>
              <w:rPr>
                <w:sz w:val="24"/>
              </w:rPr>
              <w:t>a</w:t>
            </w:r>
            <w:r>
              <w:rPr>
                <w:spacing w:val="-6"/>
                <w:sz w:val="24"/>
              </w:rPr>
              <w:t> </w:t>
            </w:r>
            <w:r>
              <w:rPr>
                <w:sz w:val="24"/>
              </w:rPr>
              <w:t>recent</w:t>
            </w:r>
            <w:r>
              <w:rPr>
                <w:spacing w:val="-5"/>
                <w:sz w:val="24"/>
              </w:rPr>
              <w:t> </w:t>
            </w:r>
            <w:r>
              <w:rPr>
                <w:sz w:val="24"/>
              </w:rPr>
              <w:t>document</w:t>
            </w:r>
            <w:r>
              <w:rPr>
                <w:spacing w:val="-5"/>
                <w:sz w:val="24"/>
              </w:rPr>
              <w:t> </w:t>
            </w:r>
            <w:r>
              <w:rPr>
                <w:sz w:val="24"/>
              </w:rPr>
              <w:t>regarding</w:t>
            </w:r>
            <w:r>
              <w:rPr>
                <w:spacing w:val="-6"/>
                <w:sz w:val="24"/>
              </w:rPr>
              <w:t> </w:t>
            </w:r>
            <w:r>
              <w:rPr>
                <w:sz w:val="24"/>
              </w:rPr>
              <w:t>decisions</w:t>
            </w:r>
            <w:r>
              <w:rPr>
                <w:spacing w:val="-5"/>
                <w:sz w:val="24"/>
              </w:rPr>
              <w:t> </w:t>
            </w:r>
            <w:r>
              <w:rPr>
                <w:sz w:val="24"/>
              </w:rPr>
              <w:t>made around cardiac arrest to guide clinicians regarding resuscitation decisions. </w:t>
            </w:r>
            <w:hyperlink r:id="rId13">
              <w:r>
                <w:rPr>
                  <w:color w:val="0000FF"/>
                  <w:spacing w:val="-2"/>
                  <w:sz w:val="24"/>
                  <w:u w:val="single" w:color="0000FF"/>
                </w:rPr>
                <w:t>http://www.ncepod.org.uk/2012cap.htm</w:t>
              </w:r>
            </w:hyperlink>
          </w:p>
          <w:p>
            <w:pPr>
              <w:pStyle w:val="TableParagraph"/>
              <w:rPr>
                <w:rFonts w:ascii="Arial"/>
                <w:b/>
                <w:sz w:val="24"/>
              </w:rPr>
            </w:pPr>
          </w:p>
          <w:p>
            <w:pPr>
              <w:pStyle w:val="TableParagraph"/>
              <w:ind w:left="107"/>
              <w:rPr>
                <w:sz w:val="24"/>
              </w:rPr>
            </w:pPr>
            <w:r>
              <w:rPr>
                <w:sz w:val="24"/>
              </w:rPr>
              <w:t>The frequency of observations will also be determined by the Registered Nurse</w:t>
            </w:r>
            <w:r>
              <w:rPr>
                <w:spacing w:val="-4"/>
                <w:sz w:val="24"/>
              </w:rPr>
              <w:t> </w:t>
            </w:r>
            <w:r>
              <w:rPr>
                <w:sz w:val="24"/>
              </w:rPr>
              <w:t>in</w:t>
            </w:r>
            <w:r>
              <w:rPr>
                <w:spacing w:val="-4"/>
                <w:sz w:val="24"/>
              </w:rPr>
              <w:t> </w:t>
            </w:r>
            <w:r>
              <w:rPr>
                <w:sz w:val="24"/>
              </w:rPr>
              <w:t>conjunction</w:t>
            </w:r>
            <w:r>
              <w:rPr>
                <w:spacing w:val="-4"/>
                <w:sz w:val="24"/>
              </w:rPr>
              <w:t> </w:t>
            </w:r>
            <w:r>
              <w:rPr>
                <w:sz w:val="24"/>
              </w:rPr>
              <w:t>with</w:t>
            </w:r>
            <w:r>
              <w:rPr>
                <w:spacing w:val="-4"/>
                <w:sz w:val="24"/>
              </w:rPr>
              <w:t> </w:t>
            </w:r>
            <w:r>
              <w:rPr>
                <w:sz w:val="24"/>
              </w:rPr>
              <w:t>the</w:t>
            </w:r>
            <w:r>
              <w:rPr>
                <w:spacing w:val="-4"/>
                <w:sz w:val="24"/>
              </w:rPr>
              <w:t> </w:t>
            </w:r>
            <w:r>
              <w:rPr>
                <w:sz w:val="24"/>
              </w:rPr>
              <w:t>Modified</w:t>
            </w:r>
            <w:r>
              <w:rPr>
                <w:spacing w:val="-4"/>
                <w:sz w:val="24"/>
              </w:rPr>
              <w:t> </w:t>
            </w:r>
            <w:r>
              <w:rPr>
                <w:sz w:val="24"/>
              </w:rPr>
              <w:t>Early</w:t>
            </w:r>
            <w:r>
              <w:rPr>
                <w:spacing w:val="-4"/>
                <w:sz w:val="24"/>
              </w:rPr>
              <w:t> </w:t>
            </w:r>
            <w:r>
              <w:rPr>
                <w:sz w:val="24"/>
              </w:rPr>
              <w:t>Warning</w:t>
            </w:r>
            <w:r>
              <w:rPr>
                <w:spacing w:val="-5"/>
                <w:sz w:val="24"/>
              </w:rPr>
              <w:t> </w:t>
            </w:r>
            <w:r>
              <w:rPr>
                <w:sz w:val="24"/>
              </w:rPr>
              <w:t>Score</w:t>
            </w:r>
            <w:r>
              <w:rPr>
                <w:spacing w:val="-6"/>
                <w:sz w:val="24"/>
              </w:rPr>
              <w:t> </w:t>
            </w:r>
            <w:r>
              <w:rPr>
                <w:sz w:val="24"/>
              </w:rPr>
              <w:t>Tool</w:t>
            </w:r>
            <w:r>
              <w:rPr>
                <w:spacing w:val="-4"/>
                <w:sz w:val="24"/>
              </w:rPr>
              <w:t> </w:t>
            </w:r>
            <w:r>
              <w:rPr>
                <w:sz w:val="24"/>
              </w:rPr>
              <w:t>(MEWS) used within the Trust (appendix A).</w:t>
            </w:r>
          </w:p>
          <w:p>
            <w:pPr>
              <w:pStyle w:val="TableParagraph"/>
              <w:rPr>
                <w:rFonts w:ascii="Arial"/>
                <w:b/>
                <w:sz w:val="24"/>
              </w:rPr>
            </w:pPr>
          </w:p>
          <w:p>
            <w:pPr>
              <w:pStyle w:val="TableParagraph"/>
              <w:ind w:left="107"/>
              <w:rPr>
                <w:sz w:val="24"/>
              </w:rPr>
            </w:pPr>
            <w:r>
              <w:rPr>
                <w:sz w:val="24"/>
              </w:rPr>
              <w:t>Therefore</w:t>
            </w:r>
            <w:r>
              <w:rPr>
                <w:spacing w:val="-6"/>
                <w:sz w:val="24"/>
              </w:rPr>
              <w:t> </w:t>
            </w:r>
            <w:r>
              <w:rPr>
                <w:sz w:val="24"/>
              </w:rPr>
              <w:t>if</w:t>
            </w:r>
            <w:r>
              <w:rPr>
                <w:spacing w:val="-1"/>
                <w:sz w:val="24"/>
              </w:rPr>
              <w:t> </w:t>
            </w:r>
            <w:r>
              <w:rPr>
                <w:sz w:val="24"/>
              </w:rPr>
              <w:t>the</w:t>
            </w:r>
            <w:r>
              <w:rPr>
                <w:spacing w:val="-4"/>
                <w:sz w:val="24"/>
              </w:rPr>
              <w:t> </w:t>
            </w:r>
            <w:r>
              <w:rPr>
                <w:sz w:val="24"/>
              </w:rPr>
              <w:t>patient</w:t>
            </w:r>
            <w:r>
              <w:rPr>
                <w:spacing w:val="-4"/>
                <w:sz w:val="24"/>
              </w:rPr>
              <w:t> </w:t>
            </w:r>
            <w:r>
              <w:rPr>
                <w:sz w:val="24"/>
              </w:rPr>
              <w:t>scores</w:t>
            </w:r>
            <w:r>
              <w:rPr>
                <w:spacing w:val="-3"/>
                <w:sz w:val="24"/>
              </w:rPr>
              <w:t> </w:t>
            </w:r>
            <w:r>
              <w:rPr>
                <w:spacing w:val="-5"/>
                <w:sz w:val="24"/>
              </w:rPr>
              <w:t>a:</w:t>
            </w:r>
          </w:p>
          <w:p>
            <w:pPr>
              <w:pStyle w:val="TableParagraph"/>
              <w:rPr>
                <w:rFonts w:ascii="Arial"/>
                <w:b/>
                <w:sz w:val="24"/>
              </w:rPr>
            </w:pPr>
          </w:p>
          <w:p>
            <w:pPr>
              <w:pStyle w:val="TableParagraph"/>
              <w:spacing w:before="1"/>
              <w:ind w:left="375" w:right="1198"/>
              <w:rPr>
                <w:rFonts w:ascii="Arial"/>
                <w:b/>
                <w:sz w:val="24"/>
              </w:rPr>
            </w:pPr>
            <w:r>
              <w:rPr>
                <w:rFonts w:ascii="Arial"/>
                <w:b/>
                <w:sz w:val="24"/>
              </w:rPr>
              <w:t>No Score 0: record observations minimum of 12 hourly Low</w:t>
            </w:r>
            <w:r>
              <w:rPr>
                <w:rFonts w:ascii="Arial"/>
                <w:b/>
                <w:spacing w:val="-3"/>
                <w:sz w:val="24"/>
              </w:rPr>
              <w:t> </w:t>
            </w:r>
            <w:r>
              <w:rPr>
                <w:rFonts w:ascii="Arial"/>
                <w:b/>
                <w:sz w:val="24"/>
              </w:rPr>
              <w:t>Score</w:t>
            </w:r>
            <w:r>
              <w:rPr>
                <w:rFonts w:ascii="Arial"/>
                <w:b/>
                <w:spacing w:val="-6"/>
                <w:sz w:val="24"/>
              </w:rPr>
              <w:t> </w:t>
            </w:r>
            <w:r>
              <w:rPr>
                <w:rFonts w:ascii="Arial"/>
                <w:b/>
                <w:sz w:val="24"/>
              </w:rPr>
              <w:t>1-</w:t>
            </w:r>
            <w:r>
              <w:rPr>
                <w:rFonts w:ascii="Arial"/>
                <w:b/>
                <w:spacing w:val="-6"/>
                <w:sz w:val="24"/>
              </w:rPr>
              <w:t> </w:t>
            </w:r>
            <w:r>
              <w:rPr>
                <w:rFonts w:ascii="Arial"/>
                <w:b/>
                <w:sz w:val="24"/>
              </w:rPr>
              <w:t>2:</w:t>
            </w:r>
            <w:r>
              <w:rPr>
                <w:rFonts w:ascii="Arial"/>
                <w:b/>
                <w:spacing w:val="-4"/>
                <w:sz w:val="24"/>
              </w:rPr>
              <w:t> </w:t>
            </w:r>
            <w:r>
              <w:rPr>
                <w:rFonts w:ascii="Arial"/>
                <w:b/>
                <w:sz w:val="24"/>
              </w:rPr>
              <w:t>record</w:t>
            </w:r>
            <w:r>
              <w:rPr>
                <w:rFonts w:ascii="Arial"/>
                <w:b/>
                <w:spacing w:val="-5"/>
                <w:sz w:val="24"/>
              </w:rPr>
              <w:t> </w:t>
            </w:r>
            <w:r>
              <w:rPr>
                <w:rFonts w:ascii="Arial"/>
                <w:b/>
                <w:sz w:val="24"/>
              </w:rPr>
              <w:t>observations</w:t>
            </w:r>
            <w:r>
              <w:rPr>
                <w:rFonts w:ascii="Arial"/>
                <w:b/>
                <w:spacing w:val="-5"/>
                <w:sz w:val="24"/>
              </w:rPr>
              <w:t> </w:t>
            </w:r>
            <w:r>
              <w:rPr>
                <w:rFonts w:ascii="Arial"/>
                <w:b/>
                <w:sz w:val="24"/>
              </w:rPr>
              <w:t>minimum</w:t>
            </w:r>
            <w:r>
              <w:rPr>
                <w:rFonts w:ascii="Arial"/>
                <w:b/>
                <w:spacing w:val="-5"/>
                <w:sz w:val="24"/>
              </w:rPr>
              <w:t> </w:t>
            </w:r>
            <w:r>
              <w:rPr>
                <w:rFonts w:ascii="Arial"/>
                <w:b/>
                <w:sz w:val="24"/>
              </w:rPr>
              <w:t>of</w:t>
            </w:r>
            <w:r>
              <w:rPr>
                <w:rFonts w:ascii="Arial"/>
                <w:b/>
                <w:spacing w:val="-6"/>
                <w:sz w:val="24"/>
              </w:rPr>
              <w:t> </w:t>
            </w:r>
            <w:r>
              <w:rPr>
                <w:rFonts w:ascii="Arial"/>
                <w:b/>
                <w:sz w:val="24"/>
              </w:rPr>
              <w:t>4</w:t>
            </w:r>
            <w:r>
              <w:rPr>
                <w:rFonts w:ascii="Arial"/>
                <w:b/>
                <w:spacing w:val="-4"/>
                <w:sz w:val="24"/>
              </w:rPr>
              <w:t> </w:t>
            </w:r>
            <w:r>
              <w:rPr>
                <w:rFonts w:ascii="Arial"/>
                <w:b/>
                <w:sz w:val="24"/>
              </w:rPr>
              <w:t>hourly</w:t>
            </w:r>
          </w:p>
          <w:p>
            <w:pPr>
              <w:pStyle w:val="TableParagraph"/>
              <w:ind w:left="375" w:right="437"/>
              <w:rPr>
                <w:rFonts w:ascii="Arial"/>
                <w:b/>
                <w:sz w:val="24"/>
              </w:rPr>
            </w:pPr>
            <w:r>
              <w:rPr>
                <w:rFonts w:ascii="Arial"/>
                <w:b/>
                <w:sz w:val="24"/>
              </w:rPr>
              <w:t>Medium score 3- 6: record observations minimum of 1 hourly High</w:t>
            </w:r>
            <w:r>
              <w:rPr>
                <w:rFonts w:ascii="Arial"/>
                <w:b/>
                <w:spacing w:val="-4"/>
                <w:sz w:val="24"/>
              </w:rPr>
              <w:t> </w:t>
            </w:r>
            <w:r>
              <w:rPr>
                <w:rFonts w:ascii="Arial"/>
                <w:b/>
                <w:sz w:val="24"/>
              </w:rPr>
              <w:t>Score</w:t>
            </w:r>
            <w:r>
              <w:rPr>
                <w:rFonts w:ascii="Arial"/>
                <w:b/>
                <w:spacing w:val="-6"/>
                <w:sz w:val="24"/>
              </w:rPr>
              <w:t> </w:t>
            </w:r>
            <w:r>
              <w:rPr>
                <w:rFonts w:ascii="Arial"/>
                <w:b/>
                <w:sz w:val="24"/>
              </w:rPr>
              <w:t>7</w:t>
            </w:r>
            <w:r>
              <w:rPr>
                <w:rFonts w:ascii="Arial"/>
                <w:b/>
                <w:spacing w:val="-4"/>
                <w:sz w:val="24"/>
              </w:rPr>
              <w:t> </w:t>
            </w:r>
            <w:r>
              <w:rPr>
                <w:rFonts w:ascii="Arial"/>
                <w:b/>
                <w:sz w:val="24"/>
              </w:rPr>
              <w:t>or</w:t>
            </w:r>
            <w:r>
              <w:rPr>
                <w:rFonts w:ascii="Arial"/>
                <w:b/>
                <w:spacing w:val="-4"/>
                <w:sz w:val="24"/>
              </w:rPr>
              <w:t> </w:t>
            </w:r>
            <w:r>
              <w:rPr>
                <w:rFonts w:ascii="Arial"/>
                <w:b/>
                <w:sz w:val="24"/>
              </w:rPr>
              <w:t>more:</w:t>
            </w:r>
            <w:r>
              <w:rPr>
                <w:rFonts w:ascii="Arial"/>
                <w:b/>
                <w:spacing w:val="-2"/>
                <w:sz w:val="24"/>
              </w:rPr>
              <w:t> </w:t>
            </w:r>
            <w:r>
              <w:rPr>
                <w:rFonts w:ascii="Arial"/>
                <w:b/>
                <w:sz w:val="24"/>
              </w:rPr>
              <w:t>record</w:t>
            </w:r>
            <w:r>
              <w:rPr>
                <w:rFonts w:ascii="Arial"/>
                <w:b/>
                <w:spacing w:val="-4"/>
                <w:sz w:val="24"/>
              </w:rPr>
              <w:t> </w:t>
            </w:r>
            <w:r>
              <w:rPr>
                <w:rFonts w:ascii="Arial"/>
                <w:b/>
                <w:sz w:val="24"/>
              </w:rPr>
              <w:t>observations</w:t>
            </w:r>
            <w:r>
              <w:rPr>
                <w:rFonts w:ascii="Arial"/>
                <w:b/>
                <w:spacing w:val="-4"/>
                <w:sz w:val="24"/>
              </w:rPr>
              <w:t> </w:t>
            </w:r>
            <w:r>
              <w:rPr>
                <w:rFonts w:ascii="Arial"/>
                <w:b/>
                <w:sz w:val="24"/>
              </w:rPr>
              <w:t>minimum</w:t>
            </w:r>
            <w:r>
              <w:rPr>
                <w:rFonts w:ascii="Arial"/>
                <w:b/>
                <w:spacing w:val="-4"/>
                <w:sz w:val="24"/>
              </w:rPr>
              <w:t> </w:t>
            </w:r>
            <w:r>
              <w:rPr>
                <w:rFonts w:ascii="Arial"/>
                <w:b/>
                <w:sz w:val="24"/>
              </w:rPr>
              <w:t>of</w:t>
            </w:r>
            <w:r>
              <w:rPr>
                <w:rFonts w:ascii="Arial"/>
                <w:b/>
                <w:spacing w:val="-5"/>
                <w:sz w:val="24"/>
              </w:rPr>
              <w:t> </w:t>
            </w:r>
            <w:r>
              <w:rPr>
                <w:rFonts w:ascii="Arial"/>
                <w:b/>
                <w:sz w:val="24"/>
              </w:rPr>
              <w:t>every</w:t>
            </w:r>
            <w:r>
              <w:rPr>
                <w:rFonts w:ascii="Arial"/>
                <w:b/>
                <w:spacing w:val="-8"/>
                <w:sz w:val="24"/>
              </w:rPr>
              <w:t> </w:t>
            </w:r>
            <w:r>
              <w:rPr>
                <w:rFonts w:ascii="Arial"/>
                <w:b/>
                <w:sz w:val="24"/>
              </w:rPr>
              <w:t>30 </w:t>
            </w:r>
            <w:r>
              <w:rPr>
                <w:rFonts w:ascii="Arial"/>
                <w:b/>
                <w:spacing w:val="-2"/>
                <w:sz w:val="24"/>
              </w:rPr>
              <w:t>minutes</w:t>
            </w:r>
          </w:p>
        </w:tc>
      </w:tr>
      <w:tr>
        <w:trPr>
          <w:trHeight w:val="4416" w:hRule="atLeast"/>
        </w:trPr>
        <w:tc>
          <w:tcPr>
            <w:tcW w:w="826" w:type="dxa"/>
          </w:tcPr>
          <w:p>
            <w:pPr>
              <w:pStyle w:val="TableParagraph"/>
              <w:spacing w:before="56"/>
              <w:ind w:left="50"/>
              <w:rPr>
                <w:rFonts w:ascii="Arial"/>
                <w:b/>
                <w:sz w:val="24"/>
              </w:rPr>
            </w:pPr>
            <w:r>
              <w:rPr>
                <w:rFonts w:ascii="Arial"/>
                <w:b/>
                <w:spacing w:val="-2"/>
                <w:sz w:val="24"/>
              </w:rPr>
              <w:t>3.2.10</w:t>
            </w:r>
          </w:p>
        </w:tc>
        <w:tc>
          <w:tcPr>
            <w:tcW w:w="8301" w:type="dxa"/>
          </w:tcPr>
          <w:p>
            <w:pPr>
              <w:pStyle w:val="TableParagraph"/>
              <w:spacing w:before="212"/>
              <w:ind w:left="107" w:right="85"/>
              <w:rPr>
                <w:sz w:val="24"/>
              </w:rPr>
            </w:pPr>
            <w:r>
              <w:rPr>
                <w:sz w:val="24"/>
              </w:rPr>
              <w:t>When</w:t>
            </w:r>
            <w:r>
              <w:rPr>
                <w:spacing w:val="-5"/>
                <w:sz w:val="24"/>
              </w:rPr>
              <w:t> </w:t>
            </w:r>
            <w:r>
              <w:rPr>
                <w:sz w:val="24"/>
              </w:rPr>
              <w:t>a</w:t>
            </w:r>
            <w:r>
              <w:rPr>
                <w:spacing w:val="-4"/>
                <w:sz w:val="24"/>
              </w:rPr>
              <w:t> </w:t>
            </w:r>
            <w:r>
              <w:rPr>
                <w:sz w:val="24"/>
              </w:rPr>
              <w:t>patient</w:t>
            </w:r>
            <w:r>
              <w:rPr>
                <w:spacing w:val="-5"/>
                <w:sz w:val="24"/>
              </w:rPr>
              <w:t> </w:t>
            </w:r>
            <w:r>
              <w:rPr>
                <w:sz w:val="24"/>
              </w:rPr>
              <w:t>begins</w:t>
            </w:r>
            <w:r>
              <w:rPr>
                <w:spacing w:val="-5"/>
                <w:sz w:val="24"/>
              </w:rPr>
              <w:t> </w:t>
            </w:r>
            <w:r>
              <w:rPr>
                <w:sz w:val="24"/>
              </w:rPr>
              <w:t>to</w:t>
            </w:r>
            <w:r>
              <w:rPr>
                <w:spacing w:val="-2"/>
                <w:sz w:val="24"/>
              </w:rPr>
              <w:t> </w:t>
            </w:r>
            <w:r>
              <w:rPr>
                <w:sz w:val="24"/>
              </w:rPr>
              <w:t>trigger</w:t>
            </w:r>
            <w:r>
              <w:rPr>
                <w:spacing w:val="-3"/>
                <w:sz w:val="24"/>
              </w:rPr>
              <w:t> </w:t>
            </w:r>
            <w:r>
              <w:rPr>
                <w:sz w:val="24"/>
              </w:rPr>
              <w:t>on</w:t>
            </w:r>
            <w:r>
              <w:rPr>
                <w:spacing w:val="-2"/>
                <w:sz w:val="24"/>
              </w:rPr>
              <w:t> </w:t>
            </w:r>
            <w:r>
              <w:rPr>
                <w:sz w:val="24"/>
              </w:rPr>
              <w:t>the</w:t>
            </w:r>
            <w:r>
              <w:rPr>
                <w:spacing w:val="-3"/>
                <w:sz w:val="24"/>
              </w:rPr>
              <w:t> </w:t>
            </w:r>
            <w:r>
              <w:rPr>
                <w:sz w:val="24"/>
              </w:rPr>
              <w:t>MEWS,</w:t>
            </w:r>
            <w:r>
              <w:rPr>
                <w:spacing w:val="-3"/>
                <w:sz w:val="24"/>
              </w:rPr>
              <w:t> </w:t>
            </w:r>
            <w:r>
              <w:rPr>
                <w:sz w:val="24"/>
              </w:rPr>
              <w:t>the</w:t>
            </w:r>
            <w:r>
              <w:rPr>
                <w:spacing w:val="-3"/>
                <w:sz w:val="24"/>
              </w:rPr>
              <w:t> </w:t>
            </w:r>
            <w:r>
              <w:rPr>
                <w:sz w:val="24"/>
              </w:rPr>
              <w:t>Foundation</w:t>
            </w:r>
            <w:r>
              <w:rPr>
                <w:spacing w:val="-7"/>
                <w:sz w:val="24"/>
              </w:rPr>
              <w:t> </w:t>
            </w:r>
            <w:r>
              <w:rPr>
                <w:sz w:val="24"/>
              </w:rPr>
              <w:t>Trust MEWS Escalation Policy</w:t>
            </w:r>
            <w:r>
              <w:rPr>
                <w:spacing w:val="80"/>
                <w:sz w:val="24"/>
              </w:rPr>
              <w:t> </w:t>
            </w:r>
            <w:r>
              <w:rPr>
                <w:rFonts w:ascii="Arial"/>
                <w:b/>
                <w:sz w:val="24"/>
              </w:rPr>
              <w:t>must be followed to escalate care</w:t>
            </w:r>
            <w:r>
              <w:rPr>
                <w:sz w:val="24"/>
              </w:rPr>
              <w:t>.</w:t>
            </w:r>
            <w:r>
              <w:rPr>
                <w:spacing w:val="80"/>
                <w:sz w:val="24"/>
              </w:rPr>
              <w:t> </w:t>
            </w:r>
            <w:r>
              <w:rPr>
                <w:sz w:val="24"/>
              </w:rPr>
              <w:t>A summary of this</w:t>
            </w:r>
            <w:r>
              <w:rPr>
                <w:sz w:val="24"/>
              </w:rPr>
              <w:t> is located on every Adult Patient Observation Chart booklet and the full procedure can be found following this link</w:t>
            </w:r>
            <w:r>
              <w:rPr>
                <w:spacing w:val="40"/>
                <w:sz w:val="24"/>
              </w:rPr>
              <w:t> </w:t>
            </w:r>
            <w:hyperlink r:id="rId11">
              <w:r>
                <w:rPr>
                  <w:color w:val="0000FF"/>
                  <w:sz w:val="24"/>
                  <w:u w:val="single" w:color="0000FF"/>
                </w:rPr>
                <w:t>http://uhsm-</w:t>
              </w:r>
            </w:hyperlink>
            <w:r>
              <w:rPr>
                <w:color w:val="0000FF"/>
                <w:sz w:val="24"/>
              </w:rPr>
              <w:t> </w:t>
            </w:r>
            <w:hyperlink r:id="rId11">
              <w:r>
                <w:rPr>
                  <w:color w:val="0000FF"/>
                  <w:sz w:val="24"/>
                  <w:u w:val="single" w:color="0000FF"/>
                </w:rPr>
                <w:t>intranet/policies/Pages/default.aspx</w:t>
              </w:r>
            </w:hyperlink>
            <w:r>
              <w:rPr>
                <w:color w:val="0000FF"/>
                <w:sz w:val="24"/>
              </w:rPr>
              <w:t> </w:t>
            </w:r>
            <w:r>
              <w:rPr>
                <w:sz w:val="24"/>
              </w:rPr>
              <w:t>(See appendix A)</w:t>
            </w:r>
          </w:p>
          <w:p>
            <w:pPr>
              <w:pStyle w:val="TableParagraph"/>
              <w:rPr>
                <w:rFonts w:ascii="Arial"/>
                <w:b/>
                <w:sz w:val="24"/>
              </w:rPr>
            </w:pPr>
          </w:p>
          <w:p>
            <w:pPr>
              <w:pStyle w:val="TableParagraph"/>
              <w:ind w:left="107" w:right="24"/>
              <w:rPr>
                <w:rFonts w:ascii="Arial"/>
                <w:b/>
                <w:sz w:val="24"/>
              </w:rPr>
            </w:pPr>
            <w:r>
              <w:rPr>
                <w:rFonts w:ascii="Arial"/>
                <w:b/>
                <w:sz w:val="24"/>
              </w:rPr>
              <w:t>In</w:t>
            </w:r>
            <w:r>
              <w:rPr>
                <w:rFonts w:ascii="Arial"/>
                <w:b/>
                <w:spacing w:val="-3"/>
                <w:sz w:val="24"/>
              </w:rPr>
              <w:t> </w:t>
            </w:r>
            <w:r>
              <w:rPr>
                <w:rFonts w:ascii="Arial"/>
                <w:b/>
                <w:sz w:val="24"/>
              </w:rPr>
              <w:t>some</w:t>
            </w:r>
            <w:r>
              <w:rPr>
                <w:rFonts w:ascii="Arial"/>
                <w:b/>
                <w:spacing w:val="-4"/>
                <w:sz w:val="24"/>
              </w:rPr>
              <w:t> </w:t>
            </w:r>
            <w:r>
              <w:rPr>
                <w:rFonts w:ascii="Arial"/>
                <w:b/>
                <w:sz w:val="24"/>
              </w:rPr>
              <w:t>circumstances,</w:t>
            </w:r>
            <w:r>
              <w:rPr>
                <w:rFonts w:ascii="Arial"/>
                <w:b/>
                <w:spacing w:val="-1"/>
                <w:sz w:val="24"/>
              </w:rPr>
              <w:t> </w:t>
            </w:r>
            <w:r>
              <w:rPr>
                <w:rFonts w:ascii="Arial"/>
                <w:b/>
                <w:sz w:val="24"/>
              </w:rPr>
              <w:t>patients</w:t>
            </w:r>
            <w:r>
              <w:rPr>
                <w:rFonts w:ascii="Arial"/>
                <w:b/>
                <w:spacing w:val="-5"/>
                <w:sz w:val="24"/>
              </w:rPr>
              <w:t> </w:t>
            </w:r>
            <w:r>
              <w:rPr>
                <w:rFonts w:ascii="Arial"/>
                <w:b/>
                <w:sz w:val="24"/>
              </w:rPr>
              <w:t>who</w:t>
            </w:r>
            <w:r>
              <w:rPr>
                <w:rFonts w:ascii="Arial"/>
                <w:b/>
                <w:spacing w:val="-6"/>
                <w:sz w:val="24"/>
              </w:rPr>
              <w:t> </w:t>
            </w:r>
            <w:r>
              <w:rPr>
                <w:rFonts w:ascii="Arial"/>
                <w:b/>
                <w:sz w:val="24"/>
              </w:rPr>
              <w:t>are</w:t>
            </w:r>
            <w:r>
              <w:rPr>
                <w:rFonts w:ascii="Arial"/>
                <w:b/>
                <w:spacing w:val="-4"/>
                <w:sz w:val="24"/>
              </w:rPr>
              <w:t> </w:t>
            </w:r>
            <w:r>
              <w:rPr>
                <w:rFonts w:ascii="Arial"/>
                <w:b/>
                <w:sz w:val="24"/>
              </w:rPr>
              <w:t>acutely</w:t>
            </w:r>
            <w:r>
              <w:rPr>
                <w:rFonts w:ascii="Arial"/>
                <w:b/>
                <w:spacing w:val="-10"/>
                <w:sz w:val="24"/>
              </w:rPr>
              <w:t> </w:t>
            </w:r>
            <w:r>
              <w:rPr>
                <w:rFonts w:ascii="Arial"/>
                <w:b/>
                <w:sz w:val="24"/>
              </w:rPr>
              <w:t>unwell</w:t>
            </w:r>
            <w:r>
              <w:rPr>
                <w:rFonts w:ascii="Arial"/>
                <w:b/>
                <w:spacing w:val="-7"/>
                <w:sz w:val="24"/>
              </w:rPr>
              <w:t> </w:t>
            </w:r>
            <w:r>
              <w:rPr>
                <w:rFonts w:ascii="Arial"/>
                <w:b/>
                <w:sz w:val="24"/>
              </w:rPr>
              <w:t>will</w:t>
            </w:r>
            <w:r>
              <w:rPr>
                <w:rFonts w:ascii="Arial"/>
                <w:b/>
                <w:spacing w:val="-5"/>
                <w:sz w:val="24"/>
              </w:rPr>
              <w:t> </w:t>
            </w:r>
            <w:r>
              <w:rPr>
                <w:rFonts w:ascii="Arial"/>
                <w:b/>
                <w:sz w:val="24"/>
              </w:rPr>
              <w:t>not</w:t>
            </w:r>
            <w:r>
              <w:rPr>
                <w:rFonts w:ascii="Arial"/>
                <w:b/>
                <w:spacing w:val="-3"/>
                <w:sz w:val="24"/>
              </w:rPr>
              <w:t> </w:t>
            </w:r>
            <w:r>
              <w:rPr>
                <w:rFonts w:ascii="Arial"/>
                <w:b/>
                <w:sz w:val="24"/>
              </w:rPr>
              <w:t>trigger on the MEWS.</w:t>
            </w:r>
            <w:r>
              <w:rPr>
                <w:rFonts w:ascii="Arial"/>
                <w:b/>
                <w:spacing w:val="40"/>
                <w:sz w:val="24"/>
              </w:rPr>
              <w:t> </w:t>
            </w:r>
            <w:r>
              <w:rPr>
                <w:rFonts w:ascii="Arial"/>
                <w:b/>
                <w:sz w:val="24"/>
              </w:rPr>
              <w:t>It is therefore important that clinical staff will also use their clinical judgement in deciding the frequency of observations recorded especially when there is any clinical concern that the patient is becoming unwell.</w:t>
            </w:r>
          </w:p>
          <w:p>
            <w:pPr>
              <w:pStyle w:val="TableParagraph"/>
              <w:rPr>
                <w:rFonts w:ascii="Arial"/>
                <w:b/>
                <w:sz w:val="24"/>
              </w:rPr>
            </w:pPr>
          </w:p>
          <w:p>
            <w:pPr>
              <w:pStyle w:val="TableParagraph"/>
              <w:ind w:left="107"/>
              <w:rPr>
                <w:sz w:val="24"/>
              </w:rPr>
            </w:pPr>
            <w:r>
              <w:rPr>
                <w:sz w:val="24"/>
              </w:rPr>
              <w:t>Other</w:t>
            </w:r>
            <w:r>
              <w:rPr>
                <w:spacing w:val="-3"/>
                <w:sz w:val="24"/>
              </w:rPr>
              <w:t> </w:t>
            </w:r>
            <w:r>
              <w:rPr>
                <w:sz w:val="24"/>
              </w:rPr>
              <w:t>scoring</w:t>
            </w:r>
            <w:r>
              <w:rPr>
                <w:spacing w:val="-5"/>
                <w:sz w:val="24"/>
              </w:rPr>
              <w:t> </w:t>
            </w:r>
            <w:r>
              <w:rPr>
                <w:sz w:val="24"/>
              </w:rPr>
              <w:t>systems</w:t>
            </w:r>
            <w:r>
              <w:rPr>
                <w:spacing w:val="-5"/>
                <w:sz w:val="24"/>
              </w:rPr>
              <w:t> </w:t>
            </w:r>
            <w:r>
              <w:rPr>
                <w:sz w:val="24"/>
              </w:rPr>
              <w:t>can</w:t>
            </w:r>
            <w:r>
              <w:rPr>
                <w:spacing w:val="-3"/>
                <w:sz w:val="24"/>
              </w:rPr>
              <w:t> </w:t>
            </w:r>
            <w:r>
              <w:rPr>
                <w:sz w:val="24"/>
              </w:rPr>
              <w:t>also</w:t>
            </w:r>
            <w:r>
              <w:rPr>
                <w:spacing w:val="-3"/>
                <w:sz w:val="24"/>
              </w:rPr>
              <w:t> </w:t>
            </w:r>
            <w:r>
              <w:rPr>
                <w:sz w:val="24"/>
              </w:rPr>
              <w:t>be</w:t>
            </w:r>
            <w:r>
              <w:rPr>
                <w:spacing w:val="-5"/>
                <w:sz w:val="24"/>
              </w:rPr>
              <w:t> </w:t>
            </w:r>
            <w:r>
              <w:rPr>
                <w:sz w:val="24"/>
              </w:rPr>
              <w:t>used</w:t>
            </w:r>
            <w:r>
              <w:rPr>
                <w:spacing w:val="-3"/>
                <w:sz w:val="24"/>
              </w:rPr>
              <w:t> </w:t>
            </w:r>
            <w:r>
              <w:rPr>
                <w:sz w:val="24"/>
              </w:rPr>
              <w:t>within</w:t>
            </w:r>
            <w:r>
              <w:rPr>
                <w:spacing w:val="-3"/>
                <w:sz w:val="24"/>
              </w:rPr>
              <w:t> </w:t>
            </w:r>
            <w:r>
              <w:rPr>
                <w:sz w:val="24"/>
              </w:rPr>
              <w:t>the</w:t>
            </w:r>
            <w:r>
              <w:rPr>
                <w:spacing w:val="-5"/>
                <w:sz w:val="24"/>
              </w:rPr>
              <w:t> </w:t>
            </w:r>
            <w:r>
              <w:rPr>
                <w:sz w:val="24"/>
              </w:rPr>
              <w:t>Trust,</w:t>
            </w:r>
            <w:r>
              <w:rPr>
                <w:spacing w:val="-5"/>
                <w:sz w:val="24"/>
              </w:rPr>
              <w:t> </w:t>
            </w:r>
            <w:r>
              <w:rPr>
                <w:sz w:val="24"/>
              </w:rPr>
              <w:t>for</w:t>
            </w:r>
            <w:r>
              <w:rPr>
                <w:spacing w:val="-3"/>
                <w:sz w:val="24"/>
              </w:rPr>
              <w:t> </w:t>
            </w:r>
            <w:r>
              <w:rPr>
                <w:sz w:val="24"/>
              </w:rPr>
              <w:t>example</w:t>
            </w:r>
            <w:r>
              <w:rPr>
                <w:spacing w:val="-3"/>
                <w:sz w:val="24"/>
              </w:rPr>
              <w:t> </w:t>
            </w:r>
            <w:r>
              <w:rPr>
                <w:sz w:val="24"/>
              </w:rPr>
              <w:t>CURB 65; however, these must be used in conjunction with the MEWS and not as an alternative.</w:t>
            </w:r>
          </w:p>
        </w:tc>
      </w:tr>
      <w:tr>
        <w:trPr>
          <w:trHeight w:val="915" w:hRule="atLeast"/>
        </w:trPr>
        <w:tc>
          <w:tcPr>
            <w:tcW w:w="826" w:type="dxa"/>
          </w:tcPr>
          <w:p>
            <w:pPr>
              <w:pStyle w:val="TableParagraph"/>
              <w:spacing w:before="56"/>
              <w:ind w:left="50"/>
              <w:rPr>
                <w:rFonts w:ascii="Arial"/>
                <w:b/>
                <w:sz w:val="24"/>
              </w:rPr>
            </w:pPr>
            <w:r>
              <w:rPr>
                <w:rFonts w:ascii="Arial"/>
                <w:b/>
                <w:spacing w:val="-2"/>
                <w:sz w:val="24"/>
              </w:rPr>
              <w:t>3.2.11</w:t>
            </w:r>
          </w:p>
        </w:tc>
        <w:tc>
          <w:tcPr>
            <w:tcW w:w="8301" w:type="dxa"/>
          </w:tcPr>
          <w:p>
            <w:pPr>
              <w:pStyle w:val="TableParagraph"/>
              <w:spacing w:before="137"/>
              <w:ind w:left="107"/>
              <w:rPr>
                <w:sz w:val="24"/>
              </w:rPr>
            </w:pPr>
            <w:r>
              <w:rPr>
                <w:sz w:val="24"/>
              </w:rPr>
              <w:t>The first set of observations recorded on the observation chart at the start</w:t>
            </w:r>
            <w:r>
              <w:rPr>
                <w:spacing w:val="-1"/>
                <w:sz w:val="24"/>
              </w:rPr>
              <w:t> </w:t>
            </w:r>
            <w:r>
              <w:rPr>
                <w:sz w:val="24"/>
              </w:rPr>
              <w:t>of each day will show the date clearly.</w:t>
            </w:r>
          </w:p>
        </w:tc>
      </w:tr>
      <w:tr>
        <w:trPr>
          <w:trHeight w:val="3703" w:hRule="atLeast"/>
        </w:trPr>
        <w:tc>
          <w:tcPr>
            <w:tcW w:w="826" w:type="dxa"/>
          </w:tcPr>
          <w:p>
            <w:pPr>
              <w:pStyle w:val="TableParagraph"/>
              <w:spacing w:before="218"/>
              <w:ind w:left="50"/>
              <w:rPr>
                <w:rFonts w:ascii="Arial"/>
                <w:b/>
                <w:sz w:val="24"/>
              </w:rPr>
            </w:pPr>
            <w:r>
              <w:rPr>
                <w:rFonts w:ascii="Arial"/>
                <w:b/>
                <w:spacing w:val="-2"/>
                <w:sz w:val="24"/>
              </w:rPr>
              <w:t>3.2.12</w:t>
            </w:r>
          </w:p>
        </w:tc>
        <w:tc>
          <w:tcPr>
            <w:tcW w:w="8301" w:type="dxa"/>
          </w:tcPr>
          <w:p>
            <w:pPr>
              <w:pStyle w:val="TableParagraph"/>
              <w:spacing w:before="218"/>
              <w:ind w:left="107"/>
              <w:rPr>
                <w:rFonts w:ascii="Arial"/>
                <w:b/>
                <w:sz w:val="24"/>
              </w:rPr>
            </w:pPr>
            <w:r>
              <w:rPr>
                <w:rFonts w:ascii="Arial"/>
                <w:b/>
                <w:sz w:val="24"/>
              </w:rPr>
              <w:t>All</w:t>
            </w:r>
            <w:r>
              <w:rPr>
                <w:rFonts w:ascii="Arial"/>
                <w:b/>
                <w:spacing w:val="-2"/>
                <w:sz w:val="24"/>
              </w:rPr>
              <w:t> </w:t>
            </w:r>
            <w:r>
              <w:rPr>
                <w:rFonts w:ascii="Arial"/>
                <w:b/>
                <w:sz w:val="24"/>
              </w:rPr>
              <w:t>entries</w:t>
            </w:r>
            <w:r>
              <w:rPr>
                <w:rFonts w:ascii="Arial"/>
                <w:b/>
                <w:spacing w:val="-1"/>
                <w:sz w:val="24"/>
              </w:rPr>
              <w:t> </w:t>
            </w:r>
            <w:r>
              <w:rPr>
                <w:rFonts w:ascii="Arial"/>
                <w:b/>
                <w:sz w:val="24"/>
              </w:rPr>
              <w:t>on</w:t>
            </w:r>
            <w:r>
              <w:rPr>
                <w:rFonts w:ascii="Arial"/>
                <w:b/>
                <w:spacing w:val="-2"/>
                <w:sz w:val="24"/>
              </w:rPr>
              <w:t> </w:t>
            </w:r>
            <w:r>
              <w:rPr>
                <w:rFonts w:ascii="Arial"/>
                <w:b/>
                <w:sz w:val="24"/>
              </w:rPr>
              <w:t>the</w:t>
            </w:r>
            <w:r>
              <w:rPr>
                <w:rFonts w:ascii="Arial"/>
                <w:b/>
                <w:spacing w:val="-1"/>
                <w:sz w:val="24"/>
              </w:rPr>
              <w:t> </w:t>
            </w:r>
            <w:r>
              <w:rPr>
                <w:rFonts w:ascii="Arial"/>
                <w:b/>
                <w:sz w:val="24"/>
              </w:rPr>
              <w:t>observation</w:t>
            </w:r>
            <w:r>
              <w:rPr>
                <w:rFonts w:ascii="Arial"/>
                <w:b/>
                <w:spacing w:val="-2"/>
                <w:sz w:val="24"/>
              </w:rPr>
              <w:t> </w:t>
            </w:r>
            <w:r>
              <w:rPr>
                <w:rFonts w:ascii="Arial"/>
                <w:b/>
                <w:sz w:val="24"/>
              </w:rPr>
              <w:t>chart</w:t>
            </w:r>
            <w:r>
              <w:rPr>
                <w:rFonts w:ascii="Arial"/>
                <w:b/>
                <w:spacing w:val="-1"/>
                <w:sz w:val="24"/>
              </w:rPr>
              <w:t> </w:t>
            </w:r>
            <w:r>
              <w:rPr>
                <w:rFonts w:ascii="Arial"/>
                <w:b/>
                <w:spacing w:val="-2"/>
                <w:sz w:val="24"/>
              </w:rPr>
              <w:t>must;</w:t>
            </w:r>
          </w:p>
          <w:p>
            <w:pPr>
              <w:pStyle w:val="TableParagraph"/>
              <w:spacing w:line="400" w:lineRule="auto" w:before="122"/>
              <w:ind w:left="467" w:right="1198"/>
              <w:rPr>
                <w:sz w:val="24"/>
              </w:rPr>
            </w:pPr>
            <w:r>
              <w:rPr>
                <w:position w:val="-5"/>
              </w:rPr>
              <w:drawing>
                <wp:inline distT="0" distB="0" distL="0" distR="0">
                  <wp:extent cx="140207" cy="187451"/>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Specify</w:t>
            </w:r>
            <w:r>
              <w:rPr>
                <w:spacing w:val="-7"/>
                <w:sz w:val="24"/>
              </w:rPr>
              <w:t> </w:t>
            </w:r>
            <w:r>
              <w:rPr>
                <w:sz w:val="24"/>
              </w:rPr>
              <w:t>the</w:t>
            </w:r>
            <w:r>
              <w:rPr>
                <w:spacing w:val="-6"/>
                <w:sz w:val="24"/>
              </w:rPr>
              <w:t> </w:t>
            </w:r>
            <w:r>
              <w:rPr>
                <w:sz w:val="24"/>
              </w:rPr>
              <w:t>actual</w:t>
            </w:r>
            <w:r>
              <w:rPr>
                <w:spacing w:val="-4"/>
                <w:sz w:val="24"/>
              </w:rPr>
              <w:t> </w:t>
            </w:r>
            <w:r>
              <w:rPr>
                <w:sz w:val="24"/>
              </w:rPr>
              <w:t>time</w:t>
            </w:r>
            <w:r>
              <w:rPr>
                <w:spacing w:val="-7"/>
                <w:sz w:val="24"/>
              </w:rPr>
              <w:t> </w:t>
            </w:r>
            <w:r>
              <w:rPr>
                <w:sz w:val="24"/>
              </w:rPr>
              <w:t>the</w:t>
            </w:r>
            <w:r>
              <w:rPr>
                <w:spacing w:val="-6"/>
                <w:sz w:val="24"/>
              </w:rPr>
              <w:t> </w:t>
            </w:r>
            <w:r>
              <w:rPr>
                <w:sz w:val="24"/>
              </w:rPr>
              <w:t>observations</w:t>
            </w:r>
            <w:r>
              <w:rPr>
                <w:spacing w:val="-4"/>
                <w:sz w:val="24"/>
              </w:rPr>
              <w:t> </w:t>
            </w:r>
            <w:r>
              <w:rPr>
                <w:sz w:val="24"/>
              </w:rPr>
              <w:t>were</w:t>
            </w:r>
            <w:r>
              <w:rPr>
                <w:spacing w:val="-4"/>
                <w:sz w:val="24"/>
              </w:rPr>
              <w:t> </w:t>
            </w:r>
            <w:r>
              <w:rPr>
                <w:sz w:val="24"/>
              </w:rPr>
              <w:t>undertaken. </w:t>
            </w:r>
            <w:r>
              <w:rPr>
                <w:position w:val="-5"/>
                <w:sz w:val="24"/>
              </w:rPr>
              <w:drawing>
                <wp:inline distT="0" distB="0" distL="0" distR="0">
                  <wp:extent cx="140207" cy="187451"/>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80"/>
                <w:sz w:val="24"/>
              </w:rPr>
              <w:t> </w:t>
            </w:r>
            <w:r>
              <w:rPr>
                <w:sz w:val="24"/>
              </w:rPr>
              <w:t>Be initialled by the person carrying out the observations.</w:t>
            </w:r>
          </w:p>
          <w:p>
            <w:pPr>
              <w:pStyle w:val="TableParagraph"/>
              <w:ind w:left="467"/>
              <w:rPr>
                <w:sz w:val="24"/>
              </w:rPr>
            </w:pPr>
            <w:r>
              <w:rPr>
                <w:position w:val="-5"/>
              </w:rPr>
              <w:drawing>
                <wp:inline distT="0" distB="0" distL="0" distR="0">
                  <wp:extent cx="140207" cy="187451"/>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Include the respiratory rate counted over one minute.</w:t>
            </w:r>
          </w:p>
          <w:p>
            <w:pPr>
              <w:pStyle w:val="TableParagraph"/>
              <w:spacing w:before="195"/>
              <w:ind w:left="827" w:right="48" w:hanging="360"/>
              <w:jc w:val="both"/>
              <w:rPr>
                <w:sz w:val="24"/>
              </w:rPr>
            </w:pPr>
            <w:r>
              <w:rPr>
                <w:position w:val="-5"/>
              </w:rPr>
              <w:drawing>
                <wp:inline distT="0" distB="0" distL="0" distR="0">
                  <wp:extent cx="140207" cy="187451"/>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z w:val="20"/>
              </w:rPr>
              <w:t> </w:t>
            </w:r>
            <w:r>
              <w:rPr>
                <w:sz w:val="24"/>
              </w:rPr>
              <w:t>Include oxygen saturation. (Refer to the Trust Oxygen Policy for appropriate action if not within normal parameters for that patient </w:t>
            </w:r>
            <w:hyperlink r:id="rId14">
              <w:r>
                <w:rPr>
                  <w:color w:val="0000FF"/>
                  <w:sz w:val="24"/>
                  <w:u w:val="single" w:color="0000FF"/>
                </w:rPr>
                <w:t>Pages - MedicinesManagementPolicies</w:t>
              </w:r>
            </w:hyperlink>
            <w:r>
              <w:rPr>
                <w:sz w:val="24"/>
              </w:rPr>
              <w:t>)</w:t>
            </w:r>
          </w:p>
          <w:p>
            <w:pPr>
              <w:pStyle w:val="TableParagraph"/>
              <w:spacing w:line="276" w:lineRule="exact" w:before="192"/>
              <w:ind w:left="827" w:right="53" w:hanging="360"/>
              <w:jc w:val="both"/>
              <w:rPr>
                <w:sz w:val="24"/>
              </w:rPr>
            </w:pPr>
            <w:r>
              <w:rPr>
                <w:position w:val="-5"/>
              </w:rPr>
              <w:drawing>
                <wp:inline distT="0" distB="0" distL="0" distR="0">
                  <wp:extent cx="140207" cy="187452"/>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40"/>
                <w:sz w:val="20"/>
              </w:rPr>
              <w:t> </w:t>
            </w:r>
            <w:r>
              <w:rPr>
                <w:sz w:val="24"/>
              </w:rPr>
              <w:t>Include the mode of oxygen delivery when a patient is receiving oxygen</w:t>
            </w:r>
            <w:r>
              <w:rPr>
                <w:spacing w:val="24"/>
                <w:sz w:val="24"/>
              </w:rPr>
              <w:t> </w:t>
            </w:r>
            <w:r>
              <w:rPr>
                <w:sz w:val="24"/>
              </w:rPr>
              <w:t>therapy.</w:t>
            </w:r>
            <w:r>
              <w:rPr>
                <w:spacing w:val="24"/>
                <w:sz w:val="24"/>
              </w:rPr>
              <w:t>  </w:t>
            </w:r>
            <w:r>
              <w:rPr>
                <w:sz w:val="24"/>
              </w:rPr>
              <w:t>This</w:t>
            </w:r>
            <w:r>
              <w:rPr>
                <w:spacing w:val="22"/>
                <w:sz w:val="24"/>
              </w:rPr>
              <w:t> </w:t>
            </w:r>
            <w:r>
              <w:rPr>
                <w:sz w:val="24"/>
              </w:rPr>
              <w:t>will</w:t>
            </w:r>
            <w:r>
              <w:rPr>
                <w:spacing w:val="23"/>
                <w:sz w:val="24"/>
              </w:rPr>
              <w:t> </w:t>
            </w:r>
            <w:r>
              <w:rPr>
                <w:sz w:val="24"/>
              </w:rPr>
              <w:t>be</w:t>
            </w:r>
            <w:r>
              <w:rPr>
                <w:spacing w:val="25"/>
                <w:sz w:val="24"/>
              </w:rPr>
              <w:t> </w:t>
            </w:r>
            <w:r>
              <w:rPr>
                <w:sz w:val="24"/>
              </w:rPr>
              <w:t>recorded</w:t>
            </w:r>
            <w:r>
              <w:rPr>
                <w:spacing w:val="25"/>
                <w:sz w:val="24"/>
              </w:rPr>
              <w:t> </w:t>
            </w:r>
            <w:r>
              <w:rPr>
                <w:sz w:val="24"/>
              </w:rPr>
              <w:t>using</w:t>
            </w:r>
            <w:r>
              <w:rPr>
                <w:spacing w:val="23"/>
                <w:sz w:val="24"/>
              </w:rPr>
              <w:t> </w:t>
            </w:r>
            <w:r>
              <w:rPr>
                <w:sz w:val="24"/>
              </w:rPr>
              <w:t>the</w:t>
            </w:r>
            <w:r>
              <w:rPr>
                <w:spacing w:val="24"/>
                <w:sz w:val="24"/>
              </w:rPr>
              <w:t> </w:t>
            </w:r>
            <w:r>
              <w:rPr>
                <w:sz w:val="24"/>
              </w:rPr>
              <w:t>key</w:t>
            </w:r>
            <w:r>
              <w:rPr>
                <w:spacing w:val="22"/>
                <w:sz w:val="24"/>
              </w:rPr>
              <w:t> </w:t>
            </w:r>
            <w:r>
              <w:rPr>
                <w:sz w:val="24"/>
              </w:rPr>
              <w:t>located</w:t>
            </w:r>
            <w:r>
              <w:rPr>
                <w:spacing w:val="25"/>
                <w:sz w:val="24"/>
              </w:rPr>
              <w:t> </w:t>
            </w:r>
            <w:r>
              <w:rPr>
                <w:sz w:val="24"/>
              </w:rPr>
              <w:t>on</w:t>
            </w:r>
            <w:r>
              <w:rPr>
                <w:spacing w:val="25"/>
                <w:sz w:val="24"/>
              </w:rPr>
              <w:t> </w:t>
            </w:r>
            <w:r>
              <w:rPr>
                <w:spacing w:val="-5"/>
                <w:sz w:val="24"/>
              </w:rPr>
              <w:t>the</w:t>
            </w:r>
          </w:p>
        </w:tc>
      </w:tr>
    </w:tbl>
    <w:p>
      <w:pPr>
        <w:pStyle w:val="TableParagraph"/>
        <w:spacing w:after="0" w:line="276" w:lineRule="exact"/>
        <w:jc w:val="both"/>
        <w:rPr>
          <w:sz w:val="24"/>
        </w:rPr>
        <w:sectPr>
          <w:type w:val="continuous"/>
          <w:pgSz w:w="11910" w:h="16840"/>
          <w:pgMar w:header="0" w:footer="955" w:top="920" w:bottom="1140" w:left="425" w:right="566"/>
        </w:sectPr>
      </w:pPr>
    </w:p>
    <w:p>
      <w:pPr>
        <w:pStyle w:val="BodyText"/>
        <w:spacing w:before="2"/>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6"/>
        <w:gridCol w:w="8305"/>
      </w:tblGrid>
      <w:tr>
        <w:trPr>
          <w:trHeight w:val="12098" w:hRule="atLeast"/>
        </w:trPr>
        <w:tc>
          <w:tcPr>
            <w:tcW w:w="826" w:type="dxa"/>
          </w:tcPr>
          <w:p>
            <w:pPr>
              <w:pStyle w:val="TableParagraph"/>
              <w:rPr>
                <w:rFonts w:ascii="Times New Roman"/>
                <w:sz w:val="22"/>
              </w:rPr>
            </w:pPr>
          </w:p>
        </w:tc>
        <w:tc>
          <w:tcPr>
            <w:tcW w:w="8305" w:type="dxa"/>
          </w:tcPr>
          <w:p>
            <w:pPr>
              <w:pStyle w:val="TableParagraph"/>
              <w:ind w:left="827" w:right="56"/>
              <w:jc w:val="both"/>
              <w:rPr>
                <w:sz w:val="24"/>
              </w:rPr>
            </w:pPr>
            <w:r>
              <w:rPr>
                <w:sz w:val="24"/>
              </w:rPr>
              <w:t>Adult Observation Chart booklet.</w:t>
            </w:r>
            <w:r>
              <w:rPr>
                <w:spacing w:val="40"/>
                <w:sz w:val="24"/>
              </w:rPr>
              <w:t> </w:t>
            </w:r>
            <w:r>
              <w:rPr>
                <w:sz w:val="24"/>
              </w:rPr>
              <w:t>This key is based on recommendations by the British Thoracic Society to clarify to clinical staff what</w:t>
            </w:r>
            <w:r>
              <w:rPr>
                <w:spacing w:val="-4"/>
                <w:sz w:val="24"/>
              </w:rPr>
              <w:t> </w:t>
            </w:r>
            <w:r>
              <w:rPr>
                <w:sz w:val="24"/>
              </w:rPr>
              <w:t>must</w:t>
            </w:r>
            <w:r>
              <w:rPr>
                <w:spacing w:val="-4"/>
                <w:sz w:val="24"/>
              </w:rPr>
              <w:t> </w:t>
            </w:r>
            <w:r>
              <w:rPr>
                <w:sz w:val="24"/>
              </w:rPr>
              <w:t>be</w:t>
            </w:r>
            <w:r>
              <w:rPr>
                <w:spacing w:val="-3"/>
                <w:sz w:val="24"/>
              </w:rPr>
              <w:t> </w:t>
            </w:r>
            <w:r>
              <w:rPr>
                <w:sz w:val="24"/>
              </w:rPr>
              <w:t>documented</w:t>
            </w:r>
            <w:r>
              <w:rPr>
                <w:spacing w:val="-4"/>
                <w:sz w:val="24"/>
              </w:rPr>
              <w:t> </w:t>
            </w:r>
            <w:r>
              <w:rPr>
                <w:sz w:val="24"/>
              </w:rPr>
              <w:t>on</w:t>
            </w:r>
            <w:r>
              <w:rPr>
                <w:spacing w:val="-3"/>
                <w:sz w:val="24"/>
              </w:rPr>
              <w:t> </w:t>
            </w:r>
            <w:r>
              <w:rPr>
                <w:sz w:val="24"/>
              </w:rPr>
              <w:t>the</w:t>
            </w:r>
            <w:r>
              <w:rPr>
                <w:spacing w:val="-3"/>
                <w:sz w:val="24"/>
              </w:rPr>
              <w:t> </w:t>
            </w:r>
            <w:r>
              <w:rPr>
                <w:sz w:val="24"/>
              </w:rPr>
              <w:t>observation</w:t>
            </w:r>
            <w:r>
              <w:rPr>
                <w:spacing w:val="-1"/>
                <w:sz w:val="24"/>
              </w:rPr>
              <w:t> </w:t>
            </w:r>
            <w:r>
              <w:rPr>
                <w:sz w:val="24"/>
              </w:rPr>
              <w:t>chart;</w:t>
            </w:r>
            <w:r>
              <w:rPr>
                <w:spacing w:val="-4"/>
                <w:sz w:val="24"/>
              </w:rPr>
              <w:t> </w:t>
            </w:r>
            <w:r>
              <w:rPr>
                <w:sz w:val="24"/>
              </w:rPr>
              <w:t>this</w:t>
            </w:r>
            <w:r>
              <w:rPr>
                <w:spacing w:val="-2"/>
                <w:sz w:val="24"/>
              </w:rPr>
              <w:t> </w:t>
            </w:r>
            <w:r>
              <w:rPr>
                <w:sz w:val="24"/>
              </w:rPr>
              <w:t>reduces any ambiguity in recording the mode of oxygen delivery. Any patient receiving oxygen therapy must have this prescribed and reference should be made to the Target Saturation Scheme within the Foundation Trust Oxygen Policy.</w:t>
            </w:r>
          </w:p>
          <w:p>
            <w:pPr>
              <w:pStyle w:val="TableParagraph"/>
              <w:spacing w:before="194"/>
              <w:ind w:left="827" w:right="50" w:hanging="360"/>
              <w:jc w:val="both"/>
              <w:rPr>
                <w:rFonts w:ascii="Arial"/>
                <w:b/>
                <w:sz w:val="24"/>
              </w:rPr>
            </w:pPr>
            <w:r>
              <w:rPr>
                <w:position w:val="-5"/>
              </w:rPr>
              <w:drawing>
                <wp:inline distT="0" distB="0" distL="0" distR="0">
                  <wp:extent cx="140207" cy="187451"/>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Include the pulse (heart rate) documented in </w:t>
            </w:r>
            <w:r>
              <w:rPr>
                <w:rFonts w:ascii="Arial"/>
                <w:b/>
                <w:sz w:val="24"/>
              </w:rPr>
              <w:t>graph form </w:t>
            </w:r>
            <w:r>
              <w:rPr>
                <w:sz w:val="24"/>
              </w:rPr>
              <w:t>and </w:t>
            </w:r>
            <w:r>
              <w:rPr>
                <w:rFonts w:ascii="Arial"/>
                <w:b/>
                <w:sz w:val="24"/>
              </w:rPr>
              <w:t>not </w:t>
            </w:r>
            <w:r>
              <w:rPr>
                <w:rFonts w:ascii="Arial"/>
                <w:b/>
                <w:spacing w:val="-2"/>
                <w:sz w:val="24"/>
              </w:rPr>
              <w:t>numerically.</w:t>
            </w:r>
          </w:p>
          <w:p>
            <w:pPr>
              <w:pStyle w:val="TableParagraph"/>
              <w:spacing w:before="196"/>
              <w:ind w:left="827" w:right="55" w:hanging="360"/>
              <w:jc w:val="both"/>
              <w:rPr>
                <w:sz w:val="24"/>
              </w:rPr>
            </w:pPr>
            <w:r>
              <w:rPr>
                <w:position w:val="-5"/>
              </w:rPr>
              <w:drawing>
                <wp:inline distT="0" distB="0" distL="0" distR="0">
                  <wp:extent cx="140207" cy="187451"/>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Include the heart rhythm. This will be a manual pulse taken over one minute to assess the characteristic of the heart rhythm, then documented as regular (R), or irregular (I) on the observation chart. If continuous ECG monitoring is used document the appropriate rhythm </w:t>
            </w:r>
            <w:r>
              <w:rPr>
                <w:spacing w:val="-2"/>
                <w:sz w:val="24"/>
              </w:rPr>
              <w:t>recorded.</w:t>
            </w:r>
          </w:p>
          <w:p>
            <w:pPr>
              <w:pStyle w:val="TableParagraph"/>
              <w:spacing w:before="198"/>
              <w:ind w:left="827" w:right="50" w:hanging="360"/>
              <w:jc w:val="both"/>
              <w:rPr>
                <w:sz w:val="24"/>
              </w:rPr>
            </w:pPr>
            <w:r>
              <w:rPr>
                <w:position w:val="-5"/>
              </w:rPr>
              <w:drawing>
                <wp:inline distT="0" distB="0" distL="0" distR="0">
                  <wp:extent cx="140207" cy="187451"/>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Include systemic blood pressure. In cases of very low blood pressure (</w:t>
            </w:r>
            <w:r>
              <w:rPr>
                <w:sz w:val="24"/>
                <w:u w:val="single"/>
              </w:rPr>
              <w:t>&lt;</w:t>
            </w:r>
            <w:r>
              <w:rPr>
                <w:sz w:val="24"/>
              </w:rPr>
              <w:t> 90 Systolic) electronic devises will be inaccurate and a manual blood pressure using a sphygmomanometer must be carried out. Manual sphygmomanometers will be available to all areas and staff should</w:t>
            </w:r>
            <w:r>
              <w:rPr>
                <w:spacing w:val="-2"/>
                <w:sz w:val="24"/>
              </w:rPr>
              <w:t> </w:t>
            </w:r>
            <w:r>
              <w:rPr>
                <w:sz w:val="24"/>
              </w:rPr>
              <w:t>be</w:t>
            </w:r>
            <w:r>
              <w:rPr>
                <w:spacing w:val="-2"/>
                <w:sz w:val="24"/>
              </w:rPr>
              <w:t> </w:t>
            </w:r>
            <w:r>
              <w:rPr>
                <w:sz w:val="24"/>
              </w:rPr>
              <w:t>competent</w:t>
            </w:r>
            <w:r>
              <w:rPr>
                <w:spacing w:val="-2"/>
                <w:sz w:val="24"/>
              </w:rPr>
              <w:t> </w:t>
            </w:r>
            <w:r>
              <w:rPr>
                <w:sz w:val="24"/>
              </w:rPr>
              <w:t>to</w:t>
            </w:r>
            <w:r>
              <w:rPr>
                <w:spacing w:val="-2"/>
                <w:sz w:val="24"/>
              </w:rPr>
              <w:t> </w:t>
            </w:r>
            <w:r>
              <w:rPr>
                <w:sz w:val="24"/>
              </w:rPr>
              <w:t>use</w:t>
            </w:r>
            <w:r>
              <w:rPr>
                <w:spacing w:val="-2"/>
                <w:sz w:val="24"/>
              </w:rPr>
              <w:t> </w:t>
            </w:r>
            <w:r>
              <w:rPr>
                <w:sz w:val="24"/>
              </w:rPr>
              <w:t>them.</w:t>
            </w:r>
            <w:r>
              <w:rPr>
                <w:spacing w:val="-3"/>
                <w:sz w:val="24"/>
              </w:rPr>
              <w:t> </w:t>
            </w:r>
            <w:r>
              <w:rPr>
                <w:sz w:val="24"/>
              </w:rPr>
              <w:t>This</w:t>
            </w:r>
            <w:r>
              <w:rPr>
                <w:spacing w:val="-1"/>
                <w:sz w:val="24"/>
              </w:rPr>
              <w:t> </w:t>
            </w:r>
            <w:r>
              <w:rPr>
                <w:sz w:val="24"/>
              </w:rPr>
              <w:t>must</w:t>
            </w:r>
            <w:r>
              <w:rPr>
                <w:spacing w:val="-1"/>
                <w:sz w:val="24"/>
              </w:rPr>
              <w:t> </w:t>
            </w:r>
            <w:r>
              <w:rPr>
                <w:sz w:val="24"/>
              </w:rPr>
              <w:t>be</w:t>
            </w:r>
            <w:r>
              <w:rPr>
                <w:spacing w:val="-1"/>
                <w:sz w:val="24"/>
              </w:rPr>
              <w:t> </w:t>
            </w:r>
            <w:r>
              <w:rPr>
                <w:sz w:val="24"/>
              </w:rPr>
              <w:t>charted</w:t>
            </w:r>
            <w:r>
              <w:rPr>
                <w:spacing w:val="-1"/>
                <w:sz w:val="24"/>
              </w:rPr>
              <w:t> </w:t>
            </w:r>
            <w:r>
              <w:rPr>
                <w:sz w:val="24"/>
              </w:rPr>
              <w:t>in</w:t>
            </w:r>
            <w:r>
              <w:rPr>
                <w:spacing w:val="-1"/>
                <w:sz w:val="24"/>
              </w:rPr>
              <w:t> </w:t>
            </w:r>
            <w:r>
              <w:rPr>
                <w:sz w:val="24"/>
              </w:rPr>
              <w:t>graph</w:t>
            </w:r>
            <w:r>
              <w:rPr>
                <w:spacing w:val="-1"/>
                <w:sz w:val="24"/>
              </w:rPr>
              <w:t> </w:t>
            </w:r>
            <w:r>
              <w:rPr>
                <w:sz w:val="24"/>
              </w:rPr>
              <w:t>form and not numerically unless the systolic BP is greater than 240mmhg.</w:t>
            </w:r>
          </w:p>
          <w:p>
            <w:pPr>
              <w:pStyle w:val="TableParagraph"/>
              <w:spacing w:before="197"/>
              <w:ind w:left="827" w:right="59" w:hanging="360"/>
              <w:jc w:val="both"/>
              <w:rPr>
                <w:sz w:val="24"/>
              </w:rPr>
            </w:pPr>
            <w:r>
              <w:rPr>
                <w:position w:val="-5"/>
              </w:rPr>
              <w:drawing>
                <wp:inline distT="0" distB="0" distL="0" distR="0">
                  <wp:extent cx="140207" cy="187451"/>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z w:val="20"/>
              </w:rPr>
              <w:t> </w:t>
            </w:r>
            <w:r>
              <w:rPr>
                <w:sz w:val="24"/>
              </w:rPr>
              <w:t>Include temperature. Method of temperature recording will be</w:t>
            </w:r>
            <w:r>
              <w:rPr>
                <w:spacing w:val="40"/>
                <w:sz w:val="24"/>
              </w:rPr>
              <w:t> </w:t>
            </w:r>
            <w:r>
              <w:rPr>
                <w:sz w:val="24"/>
              </w:rPr>
              <w:t>assumed to be oral unless otherwise stated and will be recorded in degrees centigrade.</w:t>
            </w:r>
          </w:p>
          <w:p>
            <w:pPr>
              <w:pStyle w:val="TableParagraph"/>
              <w:spacing w:before="199"/>
              <w:ind w:left="467"/>
              <w:rPr>
                <w:sz w:val="24"/>
              </w:rPr>
            </w:pPr>
            <w:r>
              <w:rPr>
                <w:position w:val="-5"/>
              </w:rPr>
              <w:drawing>
                <wp:inline distT="0" distB="0" distL="0" distR="0">
                  <wp:extent cx="140207" cy="187451"/>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Include level of consciousness using the AVPU score, where</w:t>
            </w:r>
          </w:p>
          <w:p>
            <w:pPr>
              <w:pStyle w:val="TableParagraph"/>
              <w:numPr>
                <w:ilvl w:val="0"/>
                <w:numId w:val="2"/>
              </w:numPr>
              <w:tabs>
                <w:tab w:pos="1546" w:val="left" w:leader="none"/>
              </w:tabs>
              <w:spacing w:line="240" w:lineRule="auto" w:before="195" w:after="0"/>
              <w:ind w:left="1546" w:right="0" w:hanging="359"/>
              <w:jc w:val="left"/>
              <w:rPr>
                <w:sz w:val="24"/>
              </w:rPr>
            </w:pPr>
            <w:r>
              <w:rPr>
                <w:sz w:val="24"/>
              </w:rPr>
              <w:t>0</w:t>
            </w:r>
            <w:r>
              <w:rPr>
                <w:spacing w:val="-1"/>
                <w:sz w:val="24"/>
              </w:rPr>
              <w:t> </w:t>
            </w:r>
            <w:r>
              <w:rPr>
                <w:sz w:val="24"/>
              </w:rPr>
              <w:t>= A-</w:t>
            </w:r>
            <w:r>
              <w:rPr>
                <w:spacing w:val="-2"/>
                <w:sz w:val="24"/>
              </w:rPr>
              <w:t> Alert</w:t>
            </w:r>
          </w:p>
          <w:p>
            <w:pPr>
              <w:pStyle w:val="TableParagraph"/>
              <w:numPr>
                <w:ilvl w:val="0"/>
                <w:numId w:val="2"/>
              </w:numPr>
              <w:tabs>
                <w:tab w:pos="1546" w:val="left" w:leader="none"/>
              </w:tabs>
              <w:spacing w:line="240" w:lineRule="auto" w:before="178" w:after="0"/>
              <w:ind w:left="1546" w:right="0" w:hanging="359"/>
              <w:jc w:val="left"/>
              <w:rPr>
                <w:sz w:val="24"/>
              </w:rPr>
            </w:pPr>
            <w:r>
              <w:rPr>
                <w:sz w:val="24"/>
              </w:rPr>
              <w:t>2 =</w:t>
            </w:r>
            <w:r>
              <w:rPr>
                <w:spacing w:val="-3"/>
                <w:sz w:val="24"/>
              </w:rPr>
              <w:t> </w:t>
            </w:r>
            <w:r>
              <w:rPr>
                <w:sz w:val="24"/>
              </w:rPr>
              <w:t>V-</w:t>
            </w:r>
            <w:r>
              <w:rPr>
                <w:spacing w:val="-3"/>
                <w:sz w:val="24"/>
              </w:rPr>
              <w:t> </w:t>
            </w:r>
            <w:r>
              <w:rPr>
                <w:sz w:val="24"/>
              </w:rPr>
              <w:t>rousable</w:t>
            </w:r>
            <w:r>
              <w:rPr>
                <w:spacing w:val="-2"/>
                <w:sz w:val="24"/>
              </w:rPr>
              <w:t> </w:t>
            </w:r>
            <w:r>
              <w:rPr>
                <w:sz w:val="24"/>
              </w:rPr>
              <w:t>to</w:t>
            </w:r>
            <w:r>
              <w:rPr>
                <w:spacing w:val="-2"/>
                <w:sz w:val="24"/>
              </w:rPr>
              <w:t> </w:t>
            </w:r>
            <w:r>
              <w:rPr>
                <w:spacing w:val="-4"/>
                <w:sz w:val="24"/>
              </w:rPr>
              <w:t>voice</w:t>
            </w:r>
          </w:p>
          <w:p>
            <w:pPr>
              <w:pStyle w:val="TableParagraph"/>
              <w:numPr>
                <w:ilvl w:val="0"/>
                <w:numId w:val="2"/>
              </w:numPr>
              <w:tabs>
                <w:tab w:pos="1546" w:val="left" w:leader="none"/>
              </w:tabs>
              <w:spacing w:line="240" w:lineRule="auto" w:before="181" w:after="0"/>
              <w:ind w:left="1546" w:right="0" w:hanging="359"/>
              <w:jc w:val="left"/>
              <w:rPr>
                <w:sz w:val="24"/>
              </w:rPr>
            </w:pPr>
            <w:r>
              <w:rPr>
                <w:sz w:val="24"/>
              </w:rPr>
              <w:t>3</w:t>
            </w:r>
            <w:r>
              <w:rPr>
                <w:spacing w:val="-2"/>
                <w:sz w:val="24"/>
              </w:rPr>
              <w:t> </w:t>
            </w:r>
            <w:r>
              <w:rPr>
                <w:sz w:val="24"/>
              </w:rPr>
              <w:t>=</w:t>
            </w:r>
            <w:r>
              <w:rPr>
                <w:spacing w:val="-1"/>
                <w:sz w:val="24"/>
              </w:rPr>
              <w:t> </w:t>
            </w:r>
            <w:r>
              <w:rPr>
                <w:sz w:val="24"/>
              </w:rPr>
              <w:t>P-</w:t>
            </w:r>
            <w:r>
              <w:rPr>
                <w:spacing w:val="-3"/>
                <w:sz w:val="24"/>
              </w:rPr>
              <w:t> </w:t>
            </w:r>
            <w:r>
              <w:rPr>
                <w:sz w:val="24"/>
              </w:rPr>
              <w:t>rousable</w:t>
            </w:r>
            <w:r>
              <w:rPr>
                <w:spacing w:val="-1"/>
                <w:sz w:val="24"/>
              </w:rPr>
              <w:t> </w:t>
            </w:r>
            <w:r>
              <w:rPr>
                <w:sz w:val="24"/>
              </w:rPr>
              <w:t>to</w:t>
            </w:r>
            <w:r>
              <w:rPr>
                <w:spacing w:val="-2"/>
                <w:sz w:val="24"/>
              </w:rPr>
              <w:t> </w:t>
            </w:r>
            <w:r>
              <w:rPr>
                <w:spacing w:val="-4"/>
                <w:sz w:val="24"/>
              </w:rPr>
              <w:t>pain</w:t>
            </w:r>
          </w:p>
          <w:p>
            <w:pPr>
              <w:pStyle w:val="TableParagraph"/>
              <w:numPr>
                <w:ilvl w:val="0"/>
                <w:numId w:val="2"/>
              </w:numPr>
              <w:tabs>
                <w:tab w:pos="1546" w:val="left" w:leader="none"/>
              </w:tabs>
              <w:spacing w:line="240" w:lineRule="auto" w:before="178" w:after="0"/>
              <w:ind w:left="1546" w:right="0" w:hanging="359"/>
              <w:jc w:val="left"/>
              <w:rPr>
                <w:sz w:val="24"/>
              </w:rPr>
            </w:pPr>
            <w:r>
              <w:rPr>
                <w:sz w:val="24"/>
              </w:rPr>
              <w:t>3</w:t>
            </w:r>
            <w:r>
              <w:rPr>
                <w:spacing w:val="-1"/>
                <w:sz w:val="24"/>
              </w:rPr>
              <w:t> </w:t>
            </w:r>
            <w:r>
              <w:rPr>
                <w:sz w:val="24"/>
              </w:rPr>
              <w:t>=</w:t>
            </w:r>
            <w:r>
              <w:rPr>
                <w:spacing w:val="-1"/>
                <w:sz w:val="24"/>
              </w:rPr>
              <w:t> </w:t>
            </w:r>
            <w:r>
              <w:rPr>
                <w:sz w:val="24"/>
              </w:rPr>
              <w:t>U</w:t>
            </w:r>
            <w:r>
              <w:rPr>
                <w:spacing w:val="-1"/>
                <w:sz w:val="24"/>
              </w:rPr>
              <w:t> </w:t>
            </w:r>
            <w:r>
              <w:rPr>
                <w:sz w:val="24"/>
              </w:rPr>
              <w:t>-</w:t>
            </w:r>
            <w:r>
              <w:rPr>
                <w:spacing w:val="-2"/>
                <w:sz w:val="24"/>
              </w:rPr>
              <w:t> unrousable</w:t>
            </w:r>
          </w:p>
          <w:p>
            <w:pPr>
              <w:pStyle w:val="TableParagraph"/>
              <w:spacing w:before="175"/>
              <w:ind w:left="107" w:right="48"/>
              <w:jc w:val="both"/>
              <w:rPr>
                <w:sz w:val="24"/>
              </w:rPr>
            </w:pPr>
            <w:r>
              <w:rPr>
                <w:sz w:val="24"/>
              </w:rPr>
              <w:t>If a</w:t>
            </w:r>
            <w:r>
              <w:rPr>
                <w:spacing w:val="-2"/>
                <w:sz w:val="24"/>
              </w:rPr>
              <w:t> </w:t>
            </w:r>
            <w:r>
              <w:rPr>
                <w:sz w:val="24"/>
              </w:rPr>
              <w:t>patient</w:t>
            </w:r>
            <w:r>
              <w:rPr>
                <w:spacing w:val="-2"/>
                <w:sz w:val="24"/>
              </w:rPr>
              <w:t> </w:t>
            </w:r>
            <w:r>
              <w:rPr>
                <w:sz w:val="24"/>
              </w:rPr>
              <w:t>has</w:t>
            </w:r>
            <w:r>
              <w:rPr>
                <w:spacing w:val="-2"/>
                <w:sz w:val="24"/>
              </w:rPr>
              <w:t> </w:t>
            </w:r>
            <w:r>
              <w:rPr>
                <w:sz w:val="24"/>
              </w:rPr>
              <w:t>developed</w:t>
            </w:r>
            <w:r>
              <w:rPr>
                <w:spacing w:val="-2"/>
                <w:sz w:val="24"/>
              </w:rPr>
              <w:t> </w:t>
            </w:r>
            <w:r>
              <w:rPr>
                <w:sz w:val="24"/>
              </w:rPr>
              <w:t>new</w:t>
            </w:r>
            <w:r>
              <w:rPr>
                <w:spacing w:val="-3"/>
                <w:sz w:val="24"/>
              </w:rPr>
              <w:t> </w:t>
            </w:r>
            <w:r>
              <w:rPr>
                <w:sz w:val="24"/>
              </w:rPr>
              <w:t>confusion</w:t>
            </w:r>
            <w:r>
              <w:rPr>
                <w:spacing w:val="-1"/>
                <w:sz w:val="24"/>
              </w:rPr>
              <w:t> </w:t>
            </w:r>
            <w:r>
              <w:rPr>
                <w:sz w:val="24"/>
              </w:rPr>
              <w:t>or</w:t>
            </w:r>
            <w:r>
              <w:rPr>
                <w:spacing w:val="-2"/>
                <w:sz w:val="24"/>
              </w:rPr>
              <w:t> </w:t>
            </w:r>
            <w:r>
              <w:rPr>
                <w:sz w:val="24"/>
              </w:rPr>
              <w:t>agitation this will be recorded</w:t>
            </w:r>
            <w:r>
              <w:rPr>
                <w:spacing w:val="-2"/>
                <w:sz w:val="24"/>
              </w:rPr>
              <w:t> </w:t>
            </w:r>
            <w:r>
              <w:rPr>
                <w:sz w:val="24"/>
              </w:rPr>
              <w:t>as 1 on the observation chart in line with the MEWS. Patients scoring a P or U must be given medical help immediately, </w:t>
            </w:r>
            <w:r>
              <w:rPr>
                <w:rFonts w:ascii="Arial"/>
                <w:b/>
                <w:sz w:val="24"/>
              </w:rPr>
              <w:t>their airway is at risk</w:t>
            </w:r>
            <w:r>
              <w:rPr>
                <w:sz w:val="24"/>
              </w:rPr>
              <w:t>.</w:t>
            </w:r>
            <w:r>
              <w:rPr>
                <w:spacing w:val="40"/>
                <w:sz w:val="24"/>
              </w:rPr>
              <w:t> </w:t>
            </w:r>
            <w:r>
              <w:rPr>
                <w:sz w:val="24"/>
              </w:rPr>
              <w:t>Consider calling 2222 if the patient is still for resuscitation.</w:t>
            </w:r>
          </w:p>
          <w:p>
            <w:pPr>
              <w:pStyle w:val="TableParagraph"/>
              <w:spacing w:before="203"/>
              <w:ind w:left="107" w:right="57"/>
              <w:jc w:val="both"/>
              <w:rPr>
                <w:sz w:val="24"/>
              </w:rPr>
            </w:pPr>
            <w:r>
              <w:rPr>
                <w:sz w:val="24"/>
              </w:rPr>
              <w:t>A Trust Neurological Observation Chart (Glasgow</w:t>
            </w:r>
            <w:r>
              <w:rPr>
                <w:spacing w:val="-1"/>
                <w:sz w:val="24"/>
              </w:rPr>
              <w:t> </w:t>
            </w:r>
            <w:r>
              <w:rPr>
                <w:sz w:val="24"/>
              </w:rPr>
              <w:t>Coma Score (GCS)) must be commenced for patients scoring a P or U</w:t>
            </w:r>
            <w:r>
              <w:rPr>
                <w:spacing w:val="-1"/>
                <w:sz w:val="24"/>
              </w:rPr>
              <w:t> </w:t>
            </w:r>
            <w:r>
              <w:rPr>
                <w:sz w:val="24"/>
              </w:rPr>
              <w:t>on the MEWS and</w:t>
            </w:r>
            <w:r>
              <w:rPr>
                <w:spacing w:val="-2"/>
                <w:sz w:val="24"/>
              </w:rPr>
              <w:t> </w:t>
            </w:r>
            <w:r>
              <w:rPr>
                <w:sz w:val="24"/>
              </w:rPr>
              <w:t>frequency</w:t>
            </w:r>
            <w:r>
              <w:rPr>
                <w:spacing w:val="-1"/>
                <w:sz w:val="24"/>
              </w:rPr>
              <w:t> </w:t>
            </w:r>
            <w:r>
              <w:rPr>
                <w:sz w:val="24"/>
              </w:rPr>
              <w:t>of observations as per NICE CG 56 (see 3.2.13)</w:t>
            </w:r>
          </w:p>
        </w:tc>
      </w:tr>
      <w:tr>
        <w:trPr>
          <w:trHeight w:val="2346" w:hRule="atLeast"/>
        </w:trPr>
        <w:tc>
          <w:tcPr>
            <w:tcW w:w="826" w:type="dxa"/>
          </w:tcPr>
          <w:p>
            <w:pPr>
              <w:pStyle w:val="TableParagraph"/>
              <w:spacing w:before="154"/>
              <w:ind w:left="50"/>
              <w:rPr>
                <w:rFonts w:ascii="Arial"/>
                <w:b/>
                <w:sz w:val="24"/>
              </w:rPr>
            </w:pPr>
            <w:r>
              <w:rPr>
                <w:rFonts w:ascii="Arial"/>
                <w:b/>
                <w:spacing w:val="-2"/>
                <w:sz w:val="24"/>
              </w:rPr>
              <w:t>3.2.13</w:t>
            </w:r>
          </w:p>
        </w:tc>
        <w:tc>
          <w:tcPr>
            <w:tcW w:w="8305" w:type="dxa"/>
          </w:tcPr>
          <w:p>
            <w:pPr>
              <w:pStyle w:val="TableParagraph"/>
              <w:spacing w:before="236"/>
              <w:ind w:left="107" w:right="51"/>
              <w:jc w:val="both"/>
              <w:rPr>
                <w:sz w:val="24"/>
              </w:rPr>
            </w:pPr>
            <w:r>
              <w:rPr>
                <w:sz w:val="24"/>
              </w:rPr>
              <w:t>All patients who have sustained a head injury before or during admission to the Foundation Trust must have a neurological observation chart commenced, unless a senior Medical Practitioner has made a decision that this is not required. Any decisions must be documented in the medical</w:t>
            </w:r>
            <w:r>
              <w:rPr>
                <w:spacing w:val="80"/>
                <w:sz w:val="24"/>
              </w:rPr>
              <w:t> </w:t>
            </w:r>
            <w:r>
              <w:rPr>
                <w:spacing w:val="-2"/>
                <w:sz w:val="24"/>
              </w:rPr>
              <w:t>notes.</w:t>
            </w:r>
          </w:p>
          <w:p>
            <w:pPr>
              <w:pStyle w:val="TableParagraph"/>
              <w:spacing w:before="200"/>
              <w:ind w:left="107"/>
              <w:jc w:val="both"/>
              <w:rPr>
                <w:sz w:val="24"/>
              </w:rPr>
            </w:pPr>
            <w:r>
              <w:rPr>
                <w:sz w:val="24"/>
              </w:rPr>
              <w:t>Frequency</w:t>
            </w:r>
            <w:r>
              <w:rPr>
                <w:spacing w:val="34"/>
                <w:sz w:val="24"/>
              </w:rPr>
              <w:t> </w:t>
            </w:r>
            <w:r>
              <w:rPr>
                <w:sz w:val="24"/>
              </w:rPr>
              <w:t>of</w:t>
            </w:r>
            <w:r>
              <w:rPr>
                <w:spacing w:val="40"/>
                <w:sz w:val="24"/>
              </w:rPr>
              <w:t> </w:t>
            </w:r>
            <w:r>
              <w:rPr>
                <w:sz w:val="24"/>
              </w:rPr>
              <w:t>neurological</w:t>
            </w:r>
            <w:r>
              <w:rPr>
                <w:spacing w:val="37"/>
                <w:sz w:val="24"/>
              </w:rPr>
              <w:t> </w:t>
            </w:r>
            <w:r>
              <w:rPr>
                <w:sz w:val="24"/>
              </w:rPr>
              <w:t>observations</w:t>
            </w:r>
            <w:r>
              <w:rPr>
                <w:spacing w:val="36"/>
                <w:sz w:val="24"/>
              </w:rPr>
              <w:t> </w:t>
            </w:r>
            <w:r>
              <w:rPr>
                <w:sz w:val="24"/>
              </w:rPr>
              <w:t>will</w:t>
            </w:r>
            <w:r>
              <w:rPr>
                <w:spacing w:val="38"/>
                <w:sz w:val="24"/>
              </w:rPr>
              <w:t> </w:t>
            </w:r>
            <w:r>
              <w:rPr>
                <w:sz w:val="24"/>
              </w:rPr>
              <w:t>be</w:t>
            </w:r>
            <w:r>
              <w:rPr>
                <w:spacing w:val="43"/>
                <w:sz w:val="24"/>
              </w:rPr>
              <w:t> </w:t>
            </w:r>
            <w:r>
              <w:rPr>
                <w:sz w:val="24"/>
              </w:rPr>
              <w:t>based</w:t>
            </w:r>
            <w:r>
              <w:rPr>
                <w:spacing w:val="38"/>
                <w:sz w:val="24"/>
              </w:rPr>
              <w:t> </w:t>
            </w:r>
            <w:r>
              <w:rPr>
                <w:sz w:val="24"/>
              </w:rPr>
              <w:t>on</w:t>
            </w:r>
            <w:r>
              <w:rPr>
                <w:spacing w:val="39"/>
                <w:sz w:val="24"/>
              </w:rPr>
              <w:t> </w:t>
            </w:r>
            <w:r>
              <w:rPr>
                <w:sz w:val="24"/>
              </w:rPr>
              <w:t>NICE</w:t>
            </w:r>
            <w:r>
              <w:rPr>
                <w:spacing w:val="37"/>
                <w:sz w:val="24"/>
              </w:rPr>
              <w:t> </w:t>
            </w:r>
            <w:r>
              <w:rPr>
                <w:spacing w:val="-2"/>
                <w:sz w:val="24"/>
              </w:rPr>
              <w:t>guidelines</w:t>
            </w:r>
          </w:p>
          <w:p>
            <w:pPr>
              <w:pStyle w:val="TableParagraph"/>
              <w:spacing w:line="233" w:lineRule="exact" w:before="1"/>
              <w:ind w:left="107"/>
              <w:jc w:val="both"/>
              <w:rPr>
                <w:sz w:val="22"/>
              </w:rPr>
            </w:pPr>
            <w:hyperlink r:id="rId15">
              <w:r>
                <w:rPr>
                  <w:color w:val="0000FF"/>
                  <w:sz w:val="22"/>
                  <w:u w:val="single" w:color="0000FF"/>
                </w:rPr>
                <w:t>NICE</w:t>
              </w:r>
              <w:r>
                <w:rPr>
                  <w:color w:val="0000FF"/>
                  <w:spacing w:val="79"/>
                  <w:w w:val="150"/>
                  <w:sz w:val="22"/>
                  <w:u w:val="single" w:color="0000FF"/>
                </w:rPr>
                <w:t> </w:t>
              </w:r>
              <w:r>
                <w:rPr>
                  <w:color w:val="0000FF"/>
                  <w:sz w:val="22"/>
                  <w:u w:val="single" w:color="0000FF"/>
                </w:rPr>
                <w:t>clinical</w:t>
              </w:r>
              <w:r>
                <w:rPr>
                  <w:color w:val="0000FF"/>
                  <w:spacing w:val="25"/>
                  <w:sz w:val="22"/>
                  <w:u w:val="single" w:color="0000FF"/>
                </w:rPr>
                <w:t>  </w:t>
              </w:r>
              <w:r>
                <w:rPr>
                  <w:color w:val="0000FF"/>
                  <w:sz w:val="22"/>
                  <w:u w:val="single" w:color="0000FF"/>
                </w:rPr>
                <w:t>guideline</w:t>
              </w:r>
              <w:r>
                <w:rPr>
                  <w:color w:val="0000FF"/>
                  <w:spacing w:val="79"/>
                  <w:w w:val="150"/>
                  <w:sz w:val="22"/>
                  <w:u w:val="single" w:color="0000FF"/>
                </w:rPr>
                <w:t> </w:t>
              </w:r>
              <w:r>
                <w:rPr>
                  <w:color w:val="0000FF"/>
                  <w:sz w:val="22"/>
                  <w:u w:val="single" w:color="0000FF"/>
                </w:rPr>
                <w:t>on</w:t>
              </w:r>
              <w:r>
                <w:rPr>
                  <w:color w:val="0000FF"/>
                  <w:spacing w:val="25"/>
                  <w:sz w:val="22"/>
                  <w:u w:val="single" w:color="0000FF"/>
                </w:rPr>
                <w:t>  </w:t>
              </w:r>
              <w:r>
                <w:rPr>
                  <w:color w:val="0000FF"/>
                  <w:sz w:val="22"/>
                  <w:u w:val="single" w:color="0000FF"/>
                </w:rPr>
                <w:t>the</w:t>
              </w:r>
              <w:r>
                <w:rPr>
                  <w:color w:val="0000FF"/>
                  <w:spacing w:val="77"/>
                  <w:w w:val="150"/>
                  <w:sz w:val="22"/>
                  <w:u w:val="single" w:color="0000FF"/>
                </w:rPr>
                <w:t> </w:t>
              </w:r>
              <w:r>
                <w:rPr>
                  <w:color w:val="0000FF"/>
                  <w:sz w:val="22"/>
                  <w:u w:val="single" w:color="0000FF"/>
                </w:rPr>
                <w:t>triage,</w:t>
              </w:r>
              <w:r>
                <w:rPr>
                  <w:color w:val="0000FF"/>
                  <w:spacing w:val="26"/>
                  <w:sz w:val="22"/>
                  <w:u w:val="single" w:color="0000FF"/>
                </w:rPr>
                <w:t>  </w:t>
              </w:r>
              <w:r>
                <w:rPr>
                  <w:color w:val="0000FF"/>
                  <w:sz w:val="22"/>
                  <w:u w:val="single" w:color="0000FF"/>
                </w:rPr>
                <w:t>assessment,</w:t>
              </w:r>
              <w:r>
                <w:rPr>
                  <w:color w:val="0000FF"/>
                  <w:spacing w:val="25"/>
                  <w:sz w:val="22"/>
                  <w:u w:val="single" w:color="0000FF"/>
                </w:rPr>
                <w:t>  </w:t>
              </w:r>
              <w:r>
                <w:rPr>
                  <w:color w:val="0000FF"/>
                  <w:sz w:val="22"/>
                  <w:u w:val="single" w:color="0000FF"/>
                </w:rPr>
                <w:t>investigation</w:t>
              </w:r>
              <w:r>
                <w:rPr>
                  <w:color w:val="0000FF"/>
                  <w:spacing w:val="25"/>
                  <w:sz w:val="22"/>
                  <w:u w:val="single" w:color="0000FF"/>
                </w:rPr>
                <w:t>  </w:t>
              </w:r>
              <w:r>
                <w:rPr>
                  <w:color w:val="0000FF"/>
                  <w:sz w:val="22"/>
                  <w:u w:val="single" w:color="0000FF"/>
                </w:rPr>
                <w:t>and</w:t>
              </w:r>
              <w:r>
                <w:rPr>
                  <w:color w:val="0000FF"/>
                  <w:spacing w:val="24"/>
                  <w:sz w:val="22"/>
                  <w:u w:val="single" w:color="0000FF"/>
                </w:rPr>
                <w:t>  </w:t>
              </w:r>
              <w:r>
                <w:rPr>
                  <w:color w:val="0000FF"/>
                  <w:spacing w:val="-2"/>
                  <w:sz w:val="22"/>
                  <w:u w:val="single" w:color="0000FF"/>
                </w:rPr>
                <w:t>early</w:t>
              </w:r>
            </w:hyperlink>
          </w:p>
        </w:tc>
      </w:tr>
    </w:tbl>
    <w:p>
      <w:pPr>
        <w:pStyle w:val="TableParagraph"/>
        <w:spacing w:after="0" w:line="233" w:lineRule="exact"/>
        <w:jc w:val="both"/>
        <w:rPr>
          <w:sz w:val="22"/>
        </w:rPr>
        <w:sectPr>
          <w:pgSz w:w="11910" w:h="16840"/>
          <w:pgMar w:header="0" w:footer="955" w:top="680" w:bottom="1140" w:left="425" w:right="566"/>
        </w:sectPr>
      </w:pPr>
    </w:p>
    <w:p>
      <w:pPr>
        <w:pStyle w:val="BodyText"/>
        <w:spacing w:before="2"/>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6"/>
        <w:gridCol w:w="8302"/>
      </w:tblGrid>
      <w:tr>
        <w:trPr>
          <w:trHeight w:val="5653" w:hRule="atLeast"/>
        </w:trPr>
        <w:tc>
          <w:tcPr>
            <w:tcW w:w="826" w:type="dxa"/>
          </w:tcPr>
          <w:p>
            <w:pPr>
              <w:pStyle w:val="TableParagraph"/>
              <w:rPr>
                <w:rFonts w:ascii="Times New Roman"/>
                <w:sz w:val="22"/>
              </w:rPr>
            </w:pPr>
          </w:p>
        </w:tc>
        <w:tc>
          <w:tcPr>
            <w:tcW w:w="8302" w:type="dxa"/>
          </w:tcPr>
          <w:p>
            <w:pPr>
              <w:pStyle w:val="TableParagraph"/>
              <w:spacing w:line="242" w:lineRule="auto"/>
              <w:ind w:left="107" w:right="51"/>
              <w:jc w:val="both"/>
              <w:rPr>
                <w:sz w:val="24"/>
              </w:rPr>
            </w:pPr>
            <w:r>
              <w:rPr>
                <w:color w:val="0000FF"/>
                <w:sz w:val="22"/>
                <w:u w:val="single" w:color="0000FF"/>
              </w:rPr>
              <w:t>management of head injury in infants, children and adults - NeLM</w:t>
            </w:r>
            <w:r>
              <w:rPr>
                <w:color w:val="0000FF"/>
                <w:sz w:val="22"/>
              </w:rPr>
              <w:t> </w:t>
            </w:r>
            <w:r>
              <w:rPr>
                <w:sz w:val="24"/>
              </w:rPr>
              <w:t>which </w:t>
            </w:r>
            <w:r>
              <w:rPr>
                <w:spacing w:val="-2"/>
                <w:sz w:val="24"/>
              </w:rPr>
              <w:t>recommend;</w:t>
            </w:r>
          </w:p>
          <w:p>
            <w:pPr>
              <w:pStyle w:val="TableParagraph"/>
              <w:spacing w:before="188"/>
              <w:ind w:left="887" w:right="55" w:hanging="360"/>
              <w:rPr>
                <w:sz w:val="24"/>
              </w:rPr>
            </w:pPr>
            <w:r>
              <w:rPr>
                <w:position w:val="-5"/>
              </w:rPr>
              <w:drawing>
                <wp:inline distT="0" distB="0" distL="0" distR="0">
                  <wp:extent cx="140207" cy="187451"/>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Perform and record observations on a half hourly basis until GCS = </w:t>
            </w:r>
            <w:r>
              <w:rPr>
                <w:spacing w:val="-6"/>
                <w:sz w:val="24"/>
              </w:rPr>
              <w:t>15</w:t>
            </w:r>
          </w:p>
          <w:p>
            <w:pPr>
              <w:pStyle w:val="TableParagraph"/>
              <w:spacing w:before="199"/>
              <w:ind w:left="527"/>
              <w:rPr>
                <w:sz w:val="24"/>
              </w:rPr>
            </w:pPr>
            <w:r>
              <w:rPr>
                <w:position w:val="-5"/>
              </w:rPr>
              <w:drawing>
                <wp:inline distT="0" distB="0" distL="0" distR="0">
                  <wp:extent cx="140207" cy="187451"/>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When GCS = 15, minimum frequency of observations is</w:t>
            </w:r>
          </w:p>
          <w:p>
            <w:pPr>
              <w:pStyle w:val="TableParagraph"/>
              <w:numPr>
                <w:ilvl w:val="0"/>
                <w:numId w:val="3"/>
              </w:numPr>
              <w:tabs>
                <w:tab w:pos="1607" w:val="left" w:leader="none"/>
              </w:tabs>
              <w:spacing w:line="240" w:lineRule="auto" w:before="195" w:after="0"/>
              <w:ind w:left="1607" w:right="0" w:hanging="360"/>
              <w:jc w:val="left"/>
              <w:rPr>
                <w:sz w:val="24"/>
              </w:rPr>
            </w:pPr>
            <w:r>
              <w:rPr>
                <w:sz w:val="24"/>
              </w:rPr>
              <w:t>Half-</w:t>
            </w:r>
            <w:r>
              <w:rPr>
                <w:spacing w:val="-2"/>
                <w:sz w:val="24"/>
              </w:rPr>
              <w:t> </w:t>
            </w:r>
            <w:r>
              <w:rPr>
                <w:sz w:val="24"/>
              </w:rPr>
              <w:t>hourly</w:t>
            </w:r>
            <w:r>
              <w:rPr>
                <w:spacing w:val="-3"/>
                <w:sz w:val="24"/>
              </w:rPr>
              <w:t> </w:t>
            </w:r>
            <w:r>
              <w:rPr>
                <w:sz w:val="24"/>
              </w:rPr>
              <w:t>for</w:t>
            </w:r>
            <w:r>
              <w:rPr>
                <w:spacing w:val="-3"/>
                <w:sz w:val="24"/>
              </w:rPr>
              <w:t> </w:t>
            </w:r>
            <w:r>
              <w:rPr>
                <w:sz w:val="24"/>
              </w:rPr>
              <w:t>2</w:t>
            </w:r>
            <w:r>
              <w:rPr>
                <w:spacing w:val="-1"/>
                <w:sz w:val="24"/>
              </w:rPr>
              <w:t> </w:t>
            </w:r>
            <w:r>
              <w:rPr>
                <w:spacing w:val="-2"/>
                <w:sz w:val="24"/>
              </w:rPr>
              <w:t>hours</w:t>
            </w:r>
          </w:p>
          <w:p>
            <w:pPr>
              <w:pStyle w:val="TableParagraph"/>
              <w:numPr>
                <w:ilvl w:val="0"/>
                <w:numId w:val="3"/>
              </w:numPr>
              <w:tabs>
                <w:tab w:pos="1607" w:val="left" w:leader="none"/>
              </w:tabs>
              <w:spacing w:line="240" w:lineRule="auto" w:before="178" w:after="0"/>
              <w:ind w:left="1607" w:right="0" w:hanging="360"/>
              <w:jc w:val="left"/>
              <w:rPr>
                <w:sz w:val="24"/>
              </w:rPr>
            </w:pPr>
            <w:r>
              <w:rPr>
                <w:sz w:val="24"/>
              </w:rPr>
              <w:t>Then</w:t>
            </w:r>
            <w:r>
              <w:rPr>
                <w:spacing w:val="-3"/>
                <w:sz w:val="24"/>
              </w:rPr>
              <w:t> </w:t>
            </w:r>
            <w:r>
              <w:rPr>
                <w:sz w:val="24"/>
              </w:rPr>
              <w:t>1</w:t>
            </w:r>
            <w:r>
              <w:rPr>
                <w:spacing w:val="-1"/>
                <w:sz w:val="24"/>
              </w:rPr>
              <w:t> </w:t>
            </w:r>
            <w:r>
              <w:rPr>
                <w:sz w:val="24"/>
              </w:rPr>
              <w:t>hourly</w:t>
            </w:r>
            <w:r>
              <w:rPr>
                <w:spacing w:val="-4"/>
                <w:sz w:val="24"/>
              </w:rPr>
              <w:t> </w:t>
            </w:r>
            <w:r>
              <w:rPr>
                <w:sz w:val="24"/>
              </w:rPr>
              <w:t>for</w:t>
            </w:r>
            <w:r>
              <w:rPr>
                <w:spacing w:val="-4"/>
                <w:sz w:val="24"/>
              </w:rPr>
              <w:t> </w:t>
            </w:r>
            <w:r>
              <w:rPr>
                <w:sz w:val="24"/>
              </w:rPr>
              <w:t>4</w:t>
            </w:r>
            <w:r>
              <w:rPr>
                <w:spacing w:val="-1"/>
                <w:sz w:val="24"/>
              </w:rPr>
              <w:t> </w:t>
            </w:r>
            <w:r>
              <w:rPr>
                <w:spacing w:val="-2"/>
                <w:sz w:val="24"/>
              </w:rPr>
              <w:t>hours</w:t>
            </w:r>
          </w:p>
          <w:p>
            <w:pPr>
              <w:pStyle w:val="TableParagraph"/>
              <w:numPr>
                <w:ilvl w:val="0"/>
                <w:numId w:val="3"/>
              </w:numPr>
              <w:tabs>
                <w:tab w:pos="1607" w:val="left" w:leader="none"/>
              </w:tabs>
              <w:spacing w:line="240" w:lineRule="auto" w:before="180" w:after="0"/>
              <w:ind w:left="1607" w:right="0" w:hanging="360"/>
              <w:jc w:val="left"/>
              <w:rPr>
                <w:sz w:val="24"/>
              </w:rPr>
            </w:pPr>
            <w:r>
              <w:rPr>
                <w:sz w:val="24"/>
              </w:rPr>
              <w:t>Then</w:t>
            </w:r>
            <w:r>
              <w:rPr>
                <w:spacing w:val="-5"/>
                <w:sz w:val="24"/>
              </w:rPr>
              <w:t> </w:t>
            </w:r>
            <w:r>
              <w:rPr>
                <w:sz w:val="24"/>
              </w:rPr>
              <w:t>2</w:t>
            </w:r>
            <w:r>
              <w:rPr>
                <w:spacing w:val="-2"/>
                <w:sz w:val="24"/>
              </w:rPr>
              <w:t> </w:t>
            </w:r>
            <w:r>
              <w:rPr>
                <w:sz w:val="24"/>
              </w:rPr>
              <w:t>hourly</w:t>
            </w:r>
            <w:r>
              <w:rPr>
                <w:spacing w:val="-5"/>
                <w:sz w:val="24"/>
              </w:rPr>
              <w:t> </w:t>
            </w:r>
            <w:r>
              <w:rPr>
                <w:spacing w:val="-2"/>
                <w:sz w:val="24"/>
              </w:rPr>
              <w:t>thereafter</w:t>
            </w:r>
          </w:p>
          <w:p>
            <w:pPr>
              <w:pStyle w:val="TableParagraph"/>
              <w:numPr>
                <w:ilvl w:val="0"/>
                <w:numId w:val="3"/>
              </w:numPr>
              <w:tabs>
                <w:tab w:pos="1607" w:val="left" w:leader="none"/>
              </w:tabs>
              <w:spacing w:line="225" w:lineRule="auto" w:before="188" w:after="0"/>
              <w:ind w:left="1607" w:right="54" w:hanging="361"/>
              <w:jc w:val="left"/>
              <w:rPr>
                <w:sz w:val="24"/>
              </w:rPr>
            </w:pPr>
            <w:r>
              <w:rPr>
                <w:sz w:val="24"/>
              </w:rPr>
              <w:t>If</w:t>
            </w:r>
            <w:r>
              <w:rPr>
                <w:spacing w:val="40"/>
                <w:sz w:val="24"/>
              </w:rPr>
              <w:t> </w:t>
            </w:r>
            <w:r>
              <w:rPr>
                <w:sz w:val="24"/>
              </w:rPr>
              <w:t>patient</w:t>
            </w:r>
            <w:r>
              <w:rPr>
                <w:spacing w:val="40"/>
                <w:sz w:val="24"/>
              </w:rPr>
              <w:t> </w:t>
            </w:r>
            <w:r>
              <w:rPr>
                <w:sz w:val="24"/>
              </w:rPr>
              <w:t>deteriorates</w:t>
            </w:r>
            <w:r>
              <w:rPr>
                <w:spacing w:val="39"/>
                <w:sz w:val="24"/>
              </w:rPr>
              <w:t> </w:t>
            </w:r>
            <w:r>
              <w:rPr>
                <w:sz w:val="24"/>
              </w:rPr>
              <w:t>to</w:t>
            </w:r>
            <w:r>
              <w:rPr>
                <w:spacing w:val="40"/>
                <w:sz w:val="24"/>
              </w:rPr>
              <w:t> </w:t>
            </w:r>
            <w:r>
              <w:rPr>
                <w:sz w:val="24"/>
              </w:rPr>
              <w:t>GCS&lt;15</w:t>
            </w:r>
            <w:r>
              <w:rPr>
                <w:spacing w:val="40"/>
                <w:sz w:val="24"/>
              </w:rPr>
              <w:t> </w:t>
            </w:r>
            <w:r>
              <w:rPr>
                <w:sz w:val="24"/>
              </w:rPr>
              <w:t>after</w:t>
            </w:r>
            <w:r>
              <w:rPr>
                <w:spacing w:val="40"/>
                <w:sz w:val="24"/>
              </w:rPr>
              <w:t> </w:t>
            </w:r>
            <w:r>
              <w:rPr>
                <w:sz w:val="24"/>
              </w:rPr>
              <w:t>initial</w:t>
            </w:r>
            <w:r>
              <w:rPr>
                <w:spacing w:val="40"/>
                <w:sz w:val="24"/>
              </w:rPr>
              <w:t> </w:t>
            </w:r>
            <w:r>
              <w:rPr>
                <w:sz w:val="24"/>
              </w:rPr>
              <w:t>2</w:t>
            </w:r>
            <w:r>
              <w:rPr>
                <w:spacing w:val="40"/>
                <w:sz w:val="24"/>
              </w:rPr>
              <w:t> </w:t>
            </w:r>
            <w:r>
              <w:rPr>
                <w:sz w:val="24"/>
              </w:rPr>
              <w:t>hour</w:t>
            </w:r>
            <w:r>
              <w:rPr>
                <w:spacing w:val="40"/>
                <w:sz w:val="24"/>
              </w:rPr>
              <w:t> </w:t>
            </w:r>
            <w:r>
              <w:rPr>
                <w:sz w:val="24"/>
              </w:rPr>
              <w:t>period, revert back to half-hourly observations</w:t>
            </w:r>
          </w:p>
          <w:p>
            <w:pPr>
              <w:pStyle w:val="TableParagraph"/>
              <w:numPr>
                <w:ilvl w:val="0"/>
                <w:numId w:val="3"/>
              </w:numPr>
              <w:tabs>
                <w:tab w:pos="1607" w:val="left" w:leader="none"/>
              </w:tabs>
              <w:spacing w:line="240" w:lineRule="auto" w:before="202" w:after="0"/>
              <w:ind w:left="1607" w:right="0" w:hanging="360"/>
              <w:jc w:val="left"/>
              <w:rPr>
                <w:sz w:val="24"/>
              </w:rPr>
            </w:pPr>
            <w:r>
              <w:rPr>
                <w:sz w:val="24"/>
              </w:rPr>
              <w:t>Frequency</w:t>
            </w:r>
            <w:r>
              <w:rPr>
                <w:spacing w:val="-5"/>
                <w:sz w:val="24"/>
              </w:rPr>
              <w:t> </w:t>
            </w:r>
            <w:r>
              <w:rPr>
                <w:sz w:val="24"/>
              </w:rPr>
              <w:t>of</w:t>
            </w:r>
            <w:r>
              <w:rPr>
                <w:spacing w:val="-2"/>
                <w:sz w:val="24"/>
              </w:rPr>
              <w:t> </w:t>
            </w:r>
            <w:r>
              <w:rPr>
                <w:sz w:val="24"/>
              </w:rPr>
              <w:t>observation</w:t>
            </w:r>
            <w:r>
              <w:rPr>
                <w:spacing w:val="-2"/>
                <w:sz w:val="24"/>
              </w:rPr>
              <w:t> </w:t>
            </w:r>
            <w:r>
              <w:rPr>
                <w:sz w:val="24"/>
              </w:rPr>
              <w:t>as</w:t>
            </w:r>
            <w:r>
              <w:rPr>
                <w:spacing w:val="-4"/>
                <w:sz w:val="24"/>
              </w:rPr>
              <w:t> </w:t>
            </w:r>
            <w:r>
              <w:rPr>
                <w:sz w:val="24"/>
              </w:rPr>
              <w:t>per</w:t>
            </w:r>
            <w:r>
              <w:rPr>
                <w:spacing w:val="-2"/>
                <w:sz w:val="24"/>
              </w:rPr>
              <w:t> </w:t>
            </w:r>
            <w:r>
              <w:rPr>
                <w:sz w:val="24"/>
              </w:rPr>
              <w:t>MEWS</w:t>
            </w:r>
            <w:r>
              <w:rPr>
                <w:spacing w:val="-4"/>
                <w:sz w:val="24"/>
              </w:rPr>
              <w:t> </w:t>
            </w:r>
            <w:r>
              <w:rPr>
                <w:sz w:val="24"/>
              </w:rPr>
              <w:t>when</w:t>
            </w:r>
            <w:r>
              <w:rPr>
                <w:spacing w:val="-3"/>
                <w:sz w:val="24"/>
              </w:rPr>
              <w:t> </w:t>
            </w:r>
            <w:r>
              <w:rPr>
                <w:spacing w:val="-2"/>
                <w:sz w:val="24"/>
              </w:rPr>
              <w:t>stable</w:t>
            </w:r>
          </w:p>
          <w:p>
            <w:pPr>
              <w:pStyle w:val="TableParagraph"/>
              <w:spacing w:before="178"/>
              <w:ind w:left="107" w:right="49"/>
              <w:jc w:val="both"/>
              <w:rPr>
                <w:rFonts w:ascii="Arial"/>
                <w:b/>
                <w:sz w:val="24"/>
              </w:rPr>
            </w:pPr>
            <w:r>
              <w:rPr>
                <w:rFonts w:ascii="Arial"/>
                <w:b/>
                <w:sz w:val="24"/>
              </w:rPr>
              <w:t>Any deviation from this minimum standard must be decided by a</w:t>
            </w:r>
            <w:r>
              <w:rPr>
                <w:rFonts w:ascii="Arial"/>
                <w:b/>
                <w:spacing w:val="40"/>
                <w:sz w:val="24"/>
              </w:rPr>
              <w:t> </w:t>
            </w:r>
            <w:r>
              <w:rPr>
                <w:rFonts w:ascii="Arial"/>
                <w:b/>
                <w:sz w:val="24"/>
              </w:rPr>
              <w:t>senior medical practitioner and documented in the medical management plan.</w:t>
            </w:r>
          </w:p>
        </w:tc>
      </w:tr>
      <w:tr>
        <w:trPr>
          <w:trHeight w:val="5139" w:hRule="atLeast"/>
        </w:trPr>
        <w:tc>
          <w:tcPr>
            <w:tcW w:w="826" w:type="dxa"/>
          </w:tcPr>
          <w:p>
            <w:pPr>
              <w:pStyle w:val="TableParagraph"/>
              <w:spacing w:before="154"/>
              <w:ind w:right="56"/>
              <w:jc w:val="center"/>
              <w:rPr>
                <w:rFonts w:ascii="Arial"/>
                <w:b/>
                <w:sz w:val="24"/>
              </w:rPr>
            </w:pPr>
            <w:r>
              <w:rPr>
                <w:rFonts w:ascii="Arial"/>
                <w:b/>
                <w:spacing w:val="-2"/>
                <w:sz w:val="24"/>
              </w:rPr>
              <w:t>3.2.14</w:t>
            </w:r>
          </w:p>
        </w:tc>
        <w:tc>
          <w:tcPr>
            <w:tcW w:w="8302" w:type="dxa"/>
          </w:tcPr>
          <w:p>
            <w:pPr>
              <w:pStyle w:val="TableParagraph"/>
              <w:spacing w:before="236"/>
              <w:ind w:left="107"/>
              <w:rPr>
                <w:rFonts w:ascii="Arial"/>
                <w:b/>
                <w:sz w:val="24"/>
              </w:rPr>
            </w:pPr>
            <w:r>
              <w:rPr>
                <w:rFonts w:ascii="Arial"/>
                <w:b/>
                <w:sz w:val="24"/>
              </w:rPr>
              <w:t>Variance</w:t>
            </w:r>
            <w:r>
              <w:rPr>
                <w:rFonts w:ascii="Arial"/>
                <w:b/>
                <w:spacing w:val="-2"/>
                <w:sz w:val="24"/>
              </w:rPr>
              <w:t> Forms</w:t>
            </w:r>
          </w:p>
          <w:p>
            <w:pPr>
              <w:pStyle w:val="TableParagraph"/>
              <w:spacing w:before="199"/>
              <w:ind w:left="107" w:right="55"/>
              <w:rPr>
                <w:sz w:val="24"/>
              </w:rPr>
            </w:pPr>
            <w:r>
              <w:rPr>
                <w:sz w:val="24"/>
              </w:rPr>
              <w:t>In certain clinical conditions patients normal physiological parameters could trigger inappropriately on the MEWS, indicating an unnecessary increase in frequency</w:t>
            </w:r>
            <w:r>
              <w:rPr>
                <w:spacing w:val="-6"/>
                <w:sz w:val="24"/>
              </w:rPr>
              <w:t> </w:t>
            </w:r>
            <w:r>
              <w:rPr>
                <w:sz w:val="24"/>
              </w:rPr>
              <w:t>of</w:t>
            </w:r>
            <w:r>
              <w:rPr>
                <w:spacing w:val="-2"/>
                <w:sz w:val="24"/>
              </w:rPr>
              <w:t> </w:t>
            </w:r>
            <w:r>
              <w:rPr>
                <w:sz w:val="24"/>
              </w:rPr>
              <w:t>observation.</w:t>
            </w:r>
            <w:r>
              <w:rPr>
                <w:spacing w:val="-4"/>
                <w:sz w:val="24"/>
              </w:rPr>
              <w:t> </w:t>
            </w:r>
            <w:r>
              <w:rPr>
                <w:sz w:val="24"/>
              </w:rPr>
              <w:t>In</w:t>
            </w:r>
            <w:r>
              <w:rPr>
                <w:spacing w:val="-4"/>
                <w:sz w:val="24"/>
              </w:rPr>
              <w:t> </w:t>
            </w:r>
            <w:r>
              <w:rPr>
                <w:sz w:val="24"/>
              </w:rPr>
              <w:t>these</w:t>
            </w:r>
            <w:r>
              <w:rPr>
                <w:spacing w:val="-2"/>
                <w:sz w:val="24"/>
              </w:rPr>
              <w:t> </w:t>
            </w:r>
            <w:r>
              <w:rPr>
                <w:sz w:val="24"/>
              </w:rPr>
              <w:t>cases,</w:t>
            </w:r>
            <w:r>
              <w:rPr>
                <w:spacing w:val="-3"/>
                <w:sz w:val="24"/>
              </w:rPr>
              <w:t> </w:t>
            </w:r>
            <w:r>
              <w:rPr>
                <w:sz w:val="24"/>
              </w:rPr>
              <w:t>a</w:t>
            </w:r>
            <w:r>
              <w:rPr>
                <w:spacing w:val="-4"/>
                <w:sz w:val="24"/>
              </w:rPr>
              <w:t> </w:t>
            </w:r>
            <w:r>
              <w:rPr>
                <w:sz w:val="24"/>
              </w:rPr>
              <w:t>variance</w:t>
            </w:r>
            <w:r>
              <w:rPr>
                <w:spacing w:val="-4"/>
                <w:sz w:val="24"/>
              </w:rPr>
              <w:t> </w:t>
            </w:r>
            <w:r>
              <w:rPr>
                <w:sz w:val="24"/>
              </w:rPr>
              <w:t>to</w:t>
            </w:r>
            <w:r>
              <w:rPr>
                <w:spacing w:val="-4"/>
                <w:sz w:val="24"/>
              </w:rPr>
              <w:t> </w:t>
            </w:r>
            <w:r>
              <w:rPr>
                <w:sz w:val="24"/>
              </w:rPr>
              <w:t>this</w:t>
            </w:r>
            <w:r>
              <w:rPr>
                <w:spacing w:val="-4"/>
                <w:sz w:val="24"/>
              </w:rPr>
              <w:t> </w:t>
            </w:r>
            <w:r>
              <w:rPr>
                <w:sz w:val="24"/>
              </w:rPr>
              <w:t>standard</w:t>
            </w:r>
            <w:r>
              <w:rPr>
                <w:spacing w:val="-4"/>
                <w:sz w:val="24"/>
              </w:rPr>
              <w:t> </w:t>
            </w:r>
            <w:r>
              <w:rPr>
                <w:sz w:val="24"/>
              </w:rPr>
              <w:t>may</w:t>
            </w:r>
            <w:r>
              <w:rPr>
                <w:spacing w:val="-6"/>
                <w:sz w:val="24"/>
              </w:rPr>
              <w:t> </w:t>
            </w:r>
            <w:r>
              <w:rPr>
                <w:sz w:val="24"/>
              </w:rPr>
              <w:t>be authorised by a Doctor or Nurse in Charge of the ward. This variance must then be clearly documented on the front of the Adult Observation Chart Booklet and a Variance Form completed and inserted into the patients’ observation Booklet. (See appendix B and section 5.0 of the MEWS Escalation Policy).</w:t>
            </w:r>
          </w:p>
          <w:p>
            <w:pPr>
              <w:pStyle w:val="TableParagraph"/>
              <w:spacing w:before="200"/>
              <w:ind w:left="107" w:right="55"/>
              <w:rPr>
                <w:sz w:val="24"/>
              </w:rPr>
            </w:pPr>
            <w:r>
              <w:rPr>
                <w:sz w:val="24"/>
              </w:rPr>
              <w:t>This</w:t>
            </w:r>
            <w:r>
              <w:rPr>
                <w:spacing w:val="-4"/>
                <w:sz w:val="24"/>
              </w:rPr>
              <w:t> </w:t>
            </w:r>
            <w:r>
              <w:rPr>
                <w:sz w:val="24"/>
              </w:rPr>
              <w:t>will</w:t>
            </w:r>
            <w:r>
              <w:rPr>
                <w:spacing w:val="-4"/>
                <w:sz w:val="24"/>
              </w:rPr>
              <w:t> </w:t>
            </w:r>
            <w:r>
              <w:rPr>
                <w:sz w:val="24"/>
              </w:rPr>
              <w:t>guide</w:t>
            </w:r>
            <w:r>
              <w:rPr>
                <w:spacing w:val="-3"/>
                <w:sz w:val="24"/>
              </w:rPr>
              <w:t> </w:t>
            </w:r>
            <w:r>
              <w:rPr>
                <w:sz w:val="24"/>
              </w:rPr>
              <w:t>staff</w:t>
            </w:r>
            <w:r>
              <w:rPr>
                <w:spacing w:val="-3"/>
                <w:sz w:val="24"/>
              </w:rPr>
              <w:t> </w:t>
            </w:r>
            <w:r>
              <w:rPr>
                <w:sz w:val="24"/>
              </w:rPr>
              <w:t>taking</w:t>
            </w:r>
            <w:r>
              <w:rPr>
                <w:spacing w:val="-5"/>
                <w:sz w:val="24"/>
              </w:rPr>
              <w:t> </w:t>
            </w:r>
            <w:r>
              <w:rPr>
                <w:sz w:val="24"/>
              </w:rPr>
              <w:t>and</w:t>
            </w:r>
            <w:r>
              <w:rPr>
                <w:spacing w:val="-4"/>
                <w:sz w:val="24"/>
              </w:rPr>
              <w:t> </w:t>
            </w:r>
            <w:r>
              <w:rPr>
                <w:sz w:val="24"/>
              </w:rPr>
              <w:t>recording</w:t>
            </w:r>
            <w:r>
              <w:rPr>
                <w:spacing w:val="-5"/>
                <w:sz w:val="24"/>
              </w:rPr>
              <w:t> </w:t>
            </w:r>
            <w:r>
              <w:rPr>
                <w:sz w:val="24"/>
              </w:rPr>
              <w:t>the</w:t>
            </w:r>
            <w:r>
              <w:rPr>
                <w:spacing w:val="-6"/>
                <w:sz w:val="24"/>
              </w:rPr>
              <w:t> </w:t>
            </w:r>
            <w:r>
              <w:rPr>
                <w:sz w:val="24"/>
              </w:rPr>
              <w:t>observations</w:t>
            </w:r>
            <w:r>
              <w:rPr>
                <w:spacing w:val="-4"/>
                <w:sz w:val="24"/>
              </w:rPr>
              <w:t> </w:t>
            </w:r>
            <w:r>
              <w:rPr>
                <w:sz w:val="24"/>
              </w:rPr>
              <w:t>in</w:t>
            </w:r>
            <w:r>
              <w:rPr>
                <w:spacing w:val="-4"/>
                <w:sz w:val="24"/>
              </w:rPr>
              <w:t> </w:t>
            </w:r>
            <w:r>
              <w:rPr>
                <w:sz w:val="24"/>
              </w:rPr>
              <w:t>these</w:t>
            </w:r>
            <w:r>
              <w:rPr>
                <w:spacing w:val="-4"/>
                <w:sz w:val="24"/>
              </w:rPr>
              <w:t> </w:t>
            </w:r>
            <w:r>
              <w:rPr>
                <w:sz w:val="24"/>
              </w:rPr>
              <w:t>particular patients when to increase or decrease the frequency of observations and when to escalate their care. (See sections 3.2.8 and 3.2.9 of this policy for exceptions to this variance).</w:t>
            </w:r>
          </w:p>
          <w:p>
            <w:pPr>
              <w:pStyle w:val="TableParagraph"/>
              <w:spacing w:line="242" w:lineRule="auto" w:before="199"/>
              <w:ind w:left="107" w:right="55"/>
              <w:rPr>
                <w:sz w:val="24"/>
              </w:rPr>
            </w:pPr>
            <w:r>
              <w:rPr>
                <w:sz w:val="24"/>
              </w:rPr>
              <w:t>These</w:t>
            </w:r>
            <w:r>
              <w:rPr>
                <w:spacing w:val="-5"/>
                <w:sz w:val="24"/>
              </w:rPr>
              <w:t> </w:t>
            </w:r>
            <w:r>
              <w:rPr>
                <w:sz w:val="24"/>
              </w:rPr>
              <w:t>forms</w:t>
            </w:r>
            <w:r>
              <w:rPr>
                <w:spacing w:val="-5"/>
                <w:sz w:val="24"/>
              </w:rPr>
              <w:t> </w:t>
            </w:r>
            <w:r>
              <w:rPr>
                <w:sz w:val="24"/>
              </w:rPr>
              <w:t>are</w:t>
            </w:r>
            <w:r>
              <w:rPr>
                <w:spacing w:val="-3"/>
                <w:sz w:val="24"/>
              </w:rPr>
              <w:t> </w:t>
            </w:r>
            <w:r>
              <w:rPr>
                <w:sz w:val="24"/>
              </w:rPr>
              <w:t>to</w:t>
            </w:r>
            <w:r>
              <w:rPr>
                <w:spacing w:val="-3"/>
                <w:sz w:val="24"/>
              </w:rPr>
              <w:t> </w:t>
            </w:r>
            <w:r>
              <w:rPr>
                <w:sz w:val="24"/>
              </w:rPr>
              <w:t>be</w:t>
            </w:r>
            <w:r>
              <w:rPr>
                <w:spacing w:val="-5"/>
                <w:sz w:val="24"/>
              </w:rPr>
              <w:t> </w:t>
            </w:r>
            <w:r>
              <w:rPr>
                <w:sz w:val="24"/>
              </w:rPr>
              <w:t>used</w:t>
            </w:r>
            <w:r>
              <w:rPr>
                <w:spacing w:val="-5"/>
                <w:sz w:val="24"/>
              </w:rPr>
              <w:t> </w:t>
            </w:r>
            <w:r>
              <w:rPr>
                <w:sz w:val="24"/>
              </w:rPr>
              <w:t>for</w:t>
            </w:r>
            <w:r>
              <w:rPr>
                <w:spacing w:val="-3"/>
                <w:sz w:val="24"/>
              </w:rPr>
              <w:t> </w:t>
            </w:r>
            <w:r>
              <w:rPr>
                <w:sz w:val="24"/>
              </w:rPr>
              <w:t>patients</w:t>
            </w:r>
            <w:r>
              <w:rPr>
                <w:spacing w:val="-3"/>
                <w:sz w:val="24"/>
              </w:rPr>
              <w:t> </w:t>
            </w:r>
            <w:r>
              <w:rPr>
                <w:sz w:val="24"/>
              </w:rPr>
              <w:t>with</w:t>
            </w:r>
            <w:r>
              <w:rPr>
                <w:spacing w:val="-3"/>
                <w:sz w:val="24"/>
              </w:rPr>
              <w:t> </w:t>
            </w:r>
            <w:r>
              <w:rPr>
                <w:sz w:val="24"/>
              </w:rPr>
              <w:t>an</w:t>
            </w:r>
            <w:r>
              <w:rPr>
                <w:spacing w:val="-3"/>
                <w:sz w:val="24"/>
              </w:rPr>
              <w:t> </w:t>
            </w:r>
            <w:r>
              <w:rPr>
                <w:sz w:val="24"/>
              </w:rPr>
              <w:t>ongoing</w:t>
            </w:r>
            <w:r>
              <w:rPr>
                <w:spacing w:val="-4"/>
                <w:sz w:val="24"/>
              </w:rPr>
              <w:t> </w:t>
            </w:r>
            <w:r>
              <w:rPr>
                <w:sz w:val="24"/>
              </w:rPr>
              <w:t>chronic</w:t>
            </w:r>
            <w:r>
              <w:rPr>
                <w:spacing w:val="-3"/>
                <w:sz w:val="24"/>
              </w:rPr>
              <w:t> </w:t>
            </w:r>
            <w:r>
              <w:rPr>
                <w:sz w:val="24"/>
              </w:rPr>
              <w:t>condition and must not be used for patients with a sudden acute onset of illness.</w:t>
            </w:r>
          </w:p>
        </w:tc>
      </w:tr>
      <w:tr>
        <w:trPr>
          <w:trHeight w:val="3757" w:hRule="atLeast"/>
        </w:trPr>
        <w:tc>
          <w:tcPr>
            <w:tcW w:w="826" w:type="dxa"/>
          </w:tcPr>
          <w:p>
            <w:pPr>
              <w:pStyle w:val="TableParagraph"/>
              <w:spacing w:before="154"/>
              <w:ind w:right="56"/>
              <w:jc w:val="center"/>
              <w:rPr>
                <w:rFonts w:ascii="Arial"/>
                <w:b/>
                <w:sz w:val="24"/>
              </w:rPr>
            </w:pPr>
            <w:r>
              <w:rPr>
                <w:rFonts w:ascii="Arial"/>
                <w:b/>
                <w:spacing w:val="-2"/>
                <w:sz w:val="24"/>
              </w:rPr>
              <w:t>3.2.15</w:t>
            </w:r>
          </w:p>
        </w:tc>
        <w:tc>
          <w:tcPr>
            <w:tcW w:w="8302" w:type="dxa"/>
          </w:tcPr>
          <w:p>
            <w:pPr>
              <w:pStyle w:val="TableParagraph"/>
              <w:spacing w:before="274"/>
              <w:ind w:left="107" w:right="55"/>
              <w:rPr>
                <w:sz w:val="24"/>
              </w:rPr>
            </w:pPr>
            <w:r>
              <w:rPr>
                <w:sz w:val="24"/>
              </w:rPr>
              <w:t>Fluid</w:t>
            </w:r>
            <w:r>
              <w:rPr>
                <w:spacing w:val="-4"/>
                <w:sz w:val="24"/>
              </w:rPr>
              <w:t> </w:t>
            </w:r>
            <w:r>
              <w:rPr>
                <w:sz w:val="24"/>
              </w:rPr>
              <w:t>balance</w:t>
            </w:r>
            <w:r>
              <w:rPr>
                <w:spacing w:val="-4"/>
                <w:sz w:val="24"/>
              </w:rPr>
              <w:t> </w:t>
            </w:r>
            <w:r>
              <w:rPr>
                <w:sz w:val="24"/>
              </w:rPr>
              <w:t>charts</w:t>
            </w:r>
            <w:r>
              <w:rPr>
                <w:spacing w:val="-7"/>
                <w:sz w:val="24"/>
              </w:rPr>
              <w:t> </w:t>
            </w:r>
            <w:r>
              <w:rPr>
                <w:sz w:val="24"/>
              </w:rPr>
              <w:t>must</w:t>
            </w:r>
            <w:r>
              <w:rPr>
                <w:spacing w:val="-4"/>
                <w:sz w:val="24"/>
              </w:rPr>
              <w:t> </w:t>
            </w:r>
            <w:r>
              <w:rPr>
                <w:sz w:val="24"/>
              </w:rPr>
              <w:t>be</w:t>
            </w:r>
            <w:r>
              <w:rPr>
                <w:spacing w:val="-4"/>
                <w:sz w:val="24"/>
              </w:rPr>
              <w:t> </w:t>
            </w:r>
            <w:r>
              <w:rPr>
                <w:sz w:val="24"/>
              </w:rPr>
              <w:t>completed</w:t>
            </w:r>
            <w:r>
              <w:rPr>
                <w:spacing w:val="-7"/>
                <w:sz w:val="24"/>
              </w:rPr>
              <w:t> </w:t>
            </w:r>
            <w:r>
              <w:rPr>
                <w:sz w:val="24"/>
              </w:rPr>
              <w:t>for</w:t>
            </w:r>
            <w:r>
              <w:rPr>
                <w:spacing w:val="-4"/>
                <w:sz w:val="24"/>
              </w:rPr>
              <w:t> </w:t>
            </w:r>
            <w:r>
              <w:rPr>
                <w:sz w:val="24"/>
              </w:rPr>
              <w:t>the</w:t>
            </w:r>
            <w:r>
              <w:rPr>
                <w:spacing w:val="-6"/>
                <w:sz w:val="24"/>
              </w:rPr>
              <w:t> </w:t>
            </w:r>
            <w:r>
              <w:rPr>
                <w:sz w:val="24"/>
              </w:rPr>
              <w:t>following</w:t>
            </w:r>
            <w:r>
              <w:rPr>
                <w:spacing w:val="-5"/>
                <w:sz w:val="24"/>
              </w:rPr>
              <w:t> </w:t>
            </w:r>
            <w:r>
              <w:rPr>
                <w:sz w:val="24"/>
              </w:rPr>
              <w:t>patients,</w:t>
            </w:r>
            <w:r>
              <w:rPr>
                <w:spacing w:val="-4"/>
                <w:sz w:val="24"/>
              </w:rPr>
              <w:t> </w:t>
            </w:r>
            <w:r>
              <w:rPr>
                <w:sz w:val="24"/>
              </w:rPr>
              <w:t>unless</w:t>
            </w:r>
            <w:r>
              <w:rPr>
                <w:spacing w:val="-4"/>
                <w:sz w:val="24"/>
              </w:rPr>
              <w:t> </w:t>
            </w:r>
            <w:r>
              <w:rPr>
                <w:sz w:val="24"/>
              </w:rPr>
              <w:t>a medical practitioner or a registered nurse has made a decision otherwise. </w:t>
            </w:r>
            <w:r>
              <w:rPr>
                <w:rFonts w:ascii="Arial"/>
                <w:b/>
                <w:sz w:val="24"/>
              </w:rPr>
              <w:t>The rational for this variance must be documented in the patients medical/nursing notes</w:t>
            </w:r>
            <w:r>
              <w:rPr>
                <w:sz w:val="24"/>
              </w:rPr>
              <w:t>;</w:t>
            </w:r>
          </w:p>
          <w:p>
            <w:pPr>
              <w:pStyle w:val="TableParagraph"/>
              <w:spacing w:line="254" w:lineRule="auto" w:before="137"/>
              <w:ind w:left="827" w:right="3773"/>
              <w:rPr>
                <w:sz w:val="24"/>
              </w:rPr>
            </w:pPr>
            <w:r>
              <w:rPr>
                <w:sz w:val="24"/>
              </w:rPr>
              <mc:AlternateContent>
                <mc:Choice Requires="wps">
                  <w:drawing>
                    <wp:anchor distT="0" distB="0" distL="0" distR="0" allowOverlap="1" layoutInCell="1" locked="0" behindDoc="1" simplePos="0" relativeHeight="486516224">
                      <wp:simplePos x="0" y="0"/>
                      <wp:positionH relativeFrom="column">
                        <wp:posOffset>296905</wp:posOffset>
                      </wp:positionH>
                      <wp:positionV relativeFrom="paragraph">
                        <wp:posOffset>77544</wp:posOffset>
                      </wp:positionV>
                      <wp:extent cx="140335" cy="55943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140335" cy="559435"/>
                                <a:chExt cx="140335" cy="559435"/>
                              </a:xfrm>
                            </wpg:grpSpPr>
                            <pic:pic>
                              <pic:nvPicPr>
                                <pic:cNvPr id="49" name="Image 49"/>
                                <pic:cNvPicPr/>
                              </pic:nvPicPr>
                              <pic:blipFill>
                                <a:blip r:embed="rId16" cstate="print"/>
                                <a:stretch>
                                  <a:fillRect/>
                                </a:stretch>
                              </pic:blipFill>
                              <pic:spPr>
                                <a:xfrm>
                                  <a:off x="0" y="0"/>
                                  <a:ext cx="140207" cy="559307"/>
                                </a:xfrm>
                                <a:prstGeom prst="rect">
                                  <a:avLst/>
                                </a:prstGeom>
                              </pic:spPr>
                            </pic:pic>
                          </wpg:wgp>
                        </a:graphicData>
                      </a:graphic>
                    </wp:anchor>
                  </w:drawing>
                </mc:Choice>
                <mc:Fallback>
                  <w:pict>
                    <v:group style="position:absolute;margin-left:23.378357pt;margin-top:6.105857pt;width:11.05pt;height:44.05pt;mso-position-horizontal-relative:column;mso-position-vertical-relative:paragraph;z-index:-16800256" id="docshapegroup6" coordorigin="468,122" coordsize="221,881">
                      <v:shape style="position:absolute;left:467;top:122;width:221;height:881" type="#_x0000_t75" id="docshape7" stroked="false">
                        <v:imagedata r:id="rId16" o:title=""/>
                      </v:shape>
                      <w10:wrap type="none"/>
                    </v:group>
                  </w:pict>
                </mc:Fallback>
              </mc:AlternateContent>
            </w:r>
            <w:r>
              <w:rPr>
                <w:sz w:val="24"/>
              </w:rPr>
              <w:t>Scoring 3 or more on the MEWS All</w:t>
            </w:r>
            <w:r>
              <w:rPr>
                <w:spacing w:val="-12"/>
                <w:sz w:val="24"/>
              </w:rPr>
              <w:t> </w:t>
            </w:r>
            <w:r>
              <w:rPr>
                <w:sz w:val="24"/>
              </w:rPr>
              <w:t>emergency</w:t>
            </w:r>
            <w:r>
              <w:rPr>
                <w:spacing w:val="-14"/>
                <w:sz w:val="24"/>
              </w:rPr>
              <w:t> </w:t>
            </w:r>
            <w:r>
              <w:rPr>
                <w:sz w:val="24"/>
              </w:rPr>
              <w:t>hospital</w:t>
            </w:r>
            <w:r>
              <w:rPr>
                <w:spacing w:val="-14"/>
                <w:sz w:val="24"/>
              </w:rPr>
              <w:t> </w:t>
            </w:r>
            <w:r>
              <w:rPr>
                <w:sz w:val="24"/>
              </w:rPr>
              <w:t>admissions Post operative patients.</w:t>
            </w:r>
          </w:p>
          <w:p>
            <w:pPr>
              <w:pStyle w:val="TableParagraph"/>
              <w:spacing w:line="260" w:lineRule="exact"/>
              <w:ind w:left="827"/>
              <w:rPr>
                <w:sz w:val="24"/>
              </w:rPr>
            </w:pPr>
            <w:r>
              <w:rPr>
                <w:sz w:val="24"/>
              </w:rPr>
              <w:t>Exceptions</w:t>
            </w:r>
            <w:r>
              <w:rPr>
                <w:spacing w:val="-5"/>
                <w:sz w:val="24"/>
              </w:rPr>
              <w:t> </w:t>
            </w:r>
            <w:r>
              <w:rPr>
                <w:sz w:val="24"/>
              </w:rPr>
              <w:t>may</w:t>
            </w:r>
            <w:r>
              <w:rPr>
                <w:spacing w:val="-5"/>
                <w:sz w:val="24"/>
              </w:rPr>
              <w:t> </w:t>
            </w:r>
            <w:r>
              <w:rPr>
                <w:spacing w:val="-2"/>
                <w:sz w:val="24"/>
              </w:rPr>
              <w:t>include</w:t>
            </w:r>
          </w:p>
          <w:p>
            <w:pPr>
              <w:pStyle w:val="TableParagraph"/>
              <w:numPr>
                <w:ilvl w:val="0"/>
                <w:numId w:val="4"/>
              </w:numPr>
              <w:tabs>
                <w:tab w:pos="1546" w:val="left" w:leader="none"/>
              </w:tabs>
              <w:spacing w:line="287" w:lineRule="exact" w:before="0" w:after="0"/>
              <w:ind w:left="1546" w:right="0" w:hanging="359"/>
              <w:jc w:val="left"/>
              <w:rPr>
                <w:sz w:val="24"/>
              </w:rPr>
            </w:pPr>
            <w:r>
              <w:rPr>
                <w:sz w:val="24"/>
              </w:rPr>
              <w:t>day</w:t>
            </w:r>
            <w:r>
              <w:rPr>
                <w:spacing w:val="-4"/>
                <w:sz w:val="24"/>
              </w:rPr>
              <w:t> </w:t>
            </w:r>
            <w:r>
              <w:rPr>
                <w:sz w:val="24"/>
              </w:rPr>
              <w:t>case </w:t>
            </w:r>
            <w:r>
              <w:rPr>
                <w:spacing w:val="-2"/>
                <w:sz w:val="24"/>
              </w:rPr>
              <w:t>patients,</w:t>
            </w:r>
          </w:p>
          <w:p>
            <w:pPr>
              <w:pStyle w:val="TableParagraph"/>
              <w:numPr>
                <w:ilvl w:val="0"/>
                <w:numId w:val="4"/>
              </w:numPr>
              <w:tabs>
                <w:tab w:pos="1546" w:val="left" w:leader="none"/>
              </w:tabs>
              <w:spacing w:line="276" w:lineRule="exact" w:before="0" w:after="0"/>
              <w:ind w:left="1546" w:right="0" w:hanging="359"/>
              <w:jc w:val="left"/>
              <w:rPr>
                <w:sz w:val="24"/>
              </w:rPr>
            </w:pPr>
            <w:r>
              <w:rPr>
                <w:sz w:val="24"/>
              </w:rPr>
              <w:t>patients</w:t>
            </w:r>
            <w:r>
              <w:rPr>
                <w:spacing w:val="-7"/>
                <w:sz w:val="24"/>
              </w:rPr>
              <w:t> </w:t>
            </w:r>
            <w:r>
              <w:rPr>
                <w:sz w:val="24"/>
              </w:rPr>
              <w:t>having</w:t>
            </w:r>
            <w:r>
              <w:rPr>
                <w:spacing w:val="-6"/>
                <w:sz w:val="24"/>
              </w:rPr>
              <w:t> </w:t>
            </w:r>
            <w:r>
              <w:rPr>
                <w:sz w:val="24"/>
              </w:rPr>
              <w:t>minor</w:t>
            </w:r>
            <w:r>
              <w:rPr>
                <w:spacing w:val="-7"/>
                <w:sz w:val="24"/>
              </w:rPr>
              <w:t> </w:t>
            </w:r>
            <w:r>
              <w:rPr>
                <w:sz w:val="24"/>
              </w:rPr>
              <w:t>surgical/medical</w:t>
            </w:r>
            <w:r>
              <w:rPr>
                <w:spacing w:val="-6"/>
                <w:sz w:val="24"/>
              </w:rPr>
              <w:t> </w:t>
            </w:r>
            <w:r>
              <w:rPr>
                <w:spacing w:val="-2"/>
                <w:sz w:val="24"/>
              </w:rPr>
              <w:t>procedures</w:t>
            </w:r>
          </w:p>
          <w:p>
            <w:pPr>
              <w:pStyle w:val="TableParagraph"/>
              <w:numPr>
                <w:ilvl w:val="0"/>
                <w:numId w:val="4"/>
              </w:numPr>
              <w:tabs>
                <w:tab w:pos="1546" w:val="left" w:leader="none"/>
              </w:tabs>
              <w:spacing w:line="276" w:lineRule="exact" w:before="0" w:after="0"/>
              <w:ind w:left="1546" w:right="0" w:hanging="359"/>
              <w:jc w:val="left"/>
              <w:rPr>
                <w:sz w:val="24"/>
              </w:rPr>
            </w:pPr>
            <w:r>
              <w:rPr>
                <w:sz w:val="24"/>
              </w:rPr>
              <w:t>short</w:t>
            </w:r>
            <w:r>
              <w:rPr>
                <w:spacing w:val="-1"/>
                <w:sz w:val="24"/>
              </w:rPr>
              <w:t> </w:t>
            </w:r>
            <w:r>
              <w:rPr>
                <w:sz w:val="24"/>
              </w:rPr>
              <w:t>stay</w:t>
            </w:r>
            <w:r>
              <w:rPr>
                <w:spacing w:val="-3"/>
                <w:sz w:val="24"/>
              </w:rPr>
              <w:t> </w:t>
            </w:r>
            <w:r>
              <w:rPr>
                <w:spacing w:val="-2"/>
                <w:sz w:val="24"/>
              </w:rPr>
              <w:t>patients</w:t>
            </w:r>
          </w:p>
          <w:p>
            <w:pPr>
              <w:pStyle w:val="TableParagraph"/>
              <w:spacing w:line="245" w:lineRule="exact"/>
              <w:ind w:left="827"/>
              <w:rPr>
                <w:sz w:val="24"/>
              </w:rPr>
            </w:pPr>
            <w:r>
              <w:rPr>
                <w:sz w:val="24"/>
              </w:rPr>
              <w:t>However,</w:t>
            </w:r>
            <w:r>
              <w:rPr>
                <w:spacing w:val="-3"/>
                <w:sz w:val="24"/>
              </w:rPr>
              <w:t> </w:t>
            </w:r>
            <w:r>
              <w:rPr>
                <w:sz w:val="24"/>
              </w:rPr>
              <w:t>in</w:t>
            </w:r>
            <w:r>
              <w:rPr>
                <w:spacing w:val="-3"/>
                <w:sz w:val="24"/>
              </w:rPr>
              <w:t> </w:t>
            </w:r>
            <w:r>
              <w:rPr>
                <w:sz w:val="24"/>
              </w:rPr>
              <w:t>these</w:t>
            </w:r>
            <w:r>
              <w:rPr>
                <w:spacing w:val="-4"/>
                <w:sz w:val="24"/>
              </w:rPr>
              <w:t> </w:t>
            </w:r>
            <w:r>
              <w:rPr>
                <w:sz w:val="24"/>
              </w:rPr>
              <w:t>cases</w:t>
            </w:r>
            <w:r>
              <w:rPr>
                <w:spacing w:val="-3"/>
                <w:sz w:val="24"/>
              </w:rPr>
              <w:t> </w:t>
            </w:r>
            <w:r>
              <w:rPr>
                <w:sz w:val="24"/>
              </w:rPr>
              <w:t>a</w:t>
            </w:r>
            <w:r>
              <w:rPr>
                <w:spacing w:val="-4"/>
                <w:sz w:val="24"/>
              </w:rPr>
              <w:t> </w:t>
            </w:r>
            <w:r>
              <w:rPr>
                <w:sz w:val="24"/>
              </w:rPr>
              <w:t>fluid</w:t>
            </w:r>
            <w:r>
              <w:rPr>
                <w:spacing w:val="-4"/>
                <w:sz w:val="24"/>
              </w:rPr>
              <w:t> </w:t>
            </w:r>
            <w:r>
              <w:rPr>
                <w:sz w:val="24"/>
              </w:rPr>
              <w:t>balance</w:t>
            </w:r>
            <w:r>
              <w:rPr>
                <w:spacing w:val="-3"/>
                <w:sz w:val="24"/>
              </w:rPr>
              <w:t> </w:t>
            </w:r>
            <w:r>
              <w:rPr>
                <w:sz w:val="24"/>
              </w:rPr>
              <w:t>chart</w:t>
            </w:r>
            <w:r>
              <w:rPr>
                <w:spacing w:val="-3"/>
                <w:sz w:val="24"/>
              </w:rPr>
              <w:t> </w:t>
            </w:r>
            <w:r>
              <w:rPr>
                <w:sz w:val="24"/>
              </w:rPr>
              <w:t>must</w:t>
            </w:r>
            <w:r>
              <w:rPr>
                <w:spacing w:val="-4"/>
                <w:sz w:val="24"/>
              </w:rPr>
              <w:t> </w:t>
            </w:r>
            <w:r>
              <w:rPr>
                <w:sz w:val="24"/>
              </w:rPr>
              <w:t>be</w:t>
            </w:r>
            <w:r>
              <w:rPr>
                <w:spacing w:val="-3"/>
                <w:sz w:val="24"/>
              </w:rPr>
              <w:t> </w:t>
            </w:r>
            <w:r>
              <w:rPr>
                <w:sz w:val="24"/>
              </w:rPr>
              <w:t>commenced</w:t>
            </w:r>
            <w:r>
              <w:rPr>
                <w:spacing w:val="-5"/>
                <w:sz w:val="24"/>
              </w:rPr>
              <w:t> if</w:t>
            </w:r>
          </w:p>
        </w:tc>
      </w:tr>
    </w:tbl>
    <w:p>
      <w:pPr>
        <w:pStyle w:val="TableParagraph"/>
        <w:spacing w:after="0" w:line="245" w:lineRule="exact"/>
        <w:rPr>
          <w:sz w:val="24"/>
        </w:rPr>
        <w:sectPr>
          <w:pgSz w:w="11910" w:h="16840"/>
          <w:pgMar w:header="0" w:footer="955" w:top="680" w:bottom="1140" w:left="425" w:right="566"/>
        </w:sectPr>
      </w:pPr>
    </w:p>
    <w:p>
      <w:pPr>
        <w:pStyle w:val="BodyText"/>
        <w:spacing w:before="2"/>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9"/>
        <w:gridCol w:w="8470"/>
      </w:tblGrid>
      <w:tr>
        <w:trPr>
          <w:trHeight w:val="8095" w:hRule="atLeast"/>
        </w:trPr>
        <w:tc>
          <w:tcPr>
            <w:tcW w:w="659" w:type="dxa"/>
          </w:tcPr>
          <w:p>
            <w:pPr>
              <w:pStyle w:val="TableParagraph"/>
              <w:rPr>
                <w:rFonts w:ascii="Times New Roman"/>
                <w:sz w:val="22"/>
              </w:rPr>
            </w:pPr>
          </w:p>
        </w:tc>
        <w:tc>
          <w:tcPr>
            <w:tcW w:w="8470" w:type="dxa"/>
          </w:tcPr>
          <w:p>
            <w:pPr>
              <w:pStyle w:val="TableParagraph"/>
              <w:spacing w:line="254" w:lineRule="auto"/>
              <w:ind w:left="994" w:right="2576"/>
              <w:rPr>
                <w:sz w:val="24"/>
              </w:rPr>
            </w:pPr>
            <w:r>
              <w:rPr>
                <w:sz w:val="24"/>
              </w:rPr>
              <mc:AlternateContent>
                <mc:Choice Requires="wps">
                  <w:drawing>
                    <wp:anchor distT="0" distB="0" distL="0" distR="0" allowOverlap="1" layoutInCell="1" locked="0" behindDoc="1" simplePos="0" relativeHeight="486516736">
                      <wp:simplePos x="0" y="0"/>
                      <wp:positionH relativeFrom="column">
                        <wp:posOffset>402833</wp:posOffset>
                      </wp:positionH>
                      <wp:positionV relativeFrom="paragraph">
                        <wp:posOffset>176477</wp:posOffset>
                      </wp:positionV>
                      <wp:extent cx="140335" cy="37211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140335" cy="372110"/>
                                <a:chExt cx="140335" cy="372110"/>
                              </a:xfrm>
                            </wpg:grpSpPr>
                            <pic:pic>
                              <pic:nvPicPr>
                                <pic:cNvPr id="51" name="Image 51"/>
                                <pic:cNvPicPr/>
                              </pic:nvPicPr>
                              <pic:blipFill>
                                <a:blip r:embed="rId17" cstate="print"/>
                                <a:stretch>
                                  <a:fillRect/>
                                </a:stretch>
                              </pic:blipFill>
                              <pic:spPr>
                                <a:xfrm>
                                  <a:off x="0" y="0"/>
                                  <a:ext cx="140207" cy="371855"/>
                                </a:xfrm>
                                <a:prstGeom prst="rect">
                                  <a:avLst/>
                                </a:prstGeom>
                              </pic:spPr>
                            </pic:pic>
                          </wpg:wgp>
                        </a:graphicData>
                      </a:graphic>
                    </wp:anchor>
                  </w:drawing>
                </mc:Choice>
                <mc:Fallback>
                  <w:pict>
                    <v:group style="position:absolute;margin-left:31.719179pt;margin-top:13.895864pt;width:11.05pt;height:29.3pt;mso-position-horizontal-relative:column;mso-position-vertical-relative:paragraph;z-index:-16799744" id="docshapegroup8" coordorigin="634,278" coordsize="221,586">
                      <v:shape style="position:absolute;left:634;top:277;width:221;height:586" type="#_x0000_t75" id="docshape9" stroked="false">
                        <v:imagedata r:id="rId17" o:title=""/>
                      </v:shape>
                      <w10:wrap type="none"/>
                    </v:group>
                  </w:pict>
                </mc:Fallback>
              </mc:AlternateContent>
            </w:r>
            <w:r>
              <w:rPr>
                <w:sz w:val="24"/>
              </w:rPr>
              <w:t>clinical</w:t>
            </w:r>
            <w:r>
              <w:rPr>
                <w:spacing w:val="-4"/>
                <w:sz w:val="24"/>
              </w:rPr>
              <w:t> </w:t>
            </w:r>
            <w:r>
              <w:rPr>
                <w:sz w:val="24"/>
              </w:rPr>
              <w:t>staff</w:t>
            </w:r>
            <w:r>
              <w:rPr>
                <w:spacing w:val="-3"/>
                <w:sz w:val="24"/>
              </w:rPr>
              <w:t> </w:t>
            </w:r>
            <w:r>
              <w:rPr>
                <w:sz w:val="24"/>
              </w:rPr>
              <w:t>feel</w:t>
            </w:r>
            <w:r>
              <w:rPr>
                <w:spacing w:val="-6"/>
                <w:sz w:val="24"/>
              </w:rPr>
              <w:t> </w:t>
            </w:r>
            <w:r>
              <w:rPr>
                <w:sz w:val="24"/>
              </w:rPr>
              <w:t>there</w:t>
            </w:r>
            <w:r>
              <w:rPr>
                <w:spacing w:val="-6"/>
                <w:sz w:val="24"/>
              </w:rPr>
              <w:t> </w:t>
            </w:r>
            <w:r>
              <w:rPr>
                <w:sz w:val="24"/>
              </w:rPr>
              <w:t>is</w:t>
            </w:r>
            <w:r>
              <w:rPr>
                <w:spacing w:val="-4"/>
                <w:sz w:val="24"/>
              </w:rPr>
              <w:t> </w:t>
            </w:r>
            <w:r>
              <w:rPr>
                <w:sz w:val="24"/>
              </w:rPr>
              <w:t>a</w:t>
            </w:r>
            <w:r>
              <w:rPr>
                <w:spacing w:val="-3"/>
                <w:sz w:val="24"/>
              </w:rPr>
              <w:t> </w:t>
            </w:r>
            <w:r>
              <w:rPr>
                <w:sz w:val="24"/>
              </w:rPr>
              <w:t>clinical</w:t>
            </w:r>
            <w:r>
              <w:rPr>
                <w:spacing w:val="-4"/>
                <w:sz w:val="24"/>
              </w:rPr>
              <w:t> </w:t>
            </w:r>
            <w:r>
              <w:rPr>
                <w:sz w:val="24"/>
              </w:rPr>
              <w:t>need. Whose</w:t>
            </w:r>
            <w:r>
              <w:rPr>
                <w:spacing w:val="-3"/>
                <w:sz w:val="24"/>
              </w:rPr>
              <w:t> </w:t>
            </w:r>
            <w:r>
              <w:rPr>
                <w:sz w:val="24"/>
              </w:rPr>
              <w:t>temperature</w:t>
            </w:r>
            <w:r>
              <w:rPr>
                <w:spacing w:val="-3"/>
                <w:sz w:val="24"/>
              </w:rPr>
              <w:t> </w:t>
            </w:r>
            <w:r>
              <w:rPr>
                <w:sz w:val="24"/>
              </w:rPr>
              <w:t>is</w:t>
            </w:r>
            <w:r>
              <w:rPr>
                <w:spacing w:val="-5"/>
                <w:sz w:val="24"/>
              </w:rPr>
              <w:t> </w:t>
            </w:r>
            <w:r>
              <w:rPr>
                <w:sz w:val="24"/>
              </w:rPr>
              <w:t>greater</w:t>
            </w:r>
            <w:r>
              <w:rPr>
                <w:spacing w:val="-3"/>
                <w:sz w:val="24"/>
              </w:rPr>
              <w:t> </w:t>
            </w:r>
            <w:r>
              <w:rPr>
                <w:sz w:val="24"/>
              </w:rPr>
              <w:t>than</w:t>
            </w:r>
            <w:r>
              <w:rPr>
                <w:spacing w:val="-2"/>
                <w:sz w:val="24"/>
              </w:rPr>
              <w:t> </w:t>
            </w:r>
            <w:r>
              <w:rPr>
                <w:spacing w:val="-5"/>
                <w:sz w:val="24"/>
              </w:rPr>
              <w:t>38C</w:t>
            </w:r>
          </w:p>
          <w:p>
            <w:pPr>
              <w:pStyle w:val="TableParagraph"/>
              <w:ind w:left="994"/>
              <w:rPr>
                <w:sz w:val="24"/>
              </w:rPr>
            </w:pPr>
            <w:r>
              <w:rPr>
                <w:sz w:val="24"/>
              </w:rPr>
              <w:t>Experiencing any excessive fluid loss</w:t>
            </w:r>
            <w:r>
              <w:rPr>
                <w:spacing w:val="40"/>
                <w:sz w:val="24"/>
              </w:rPr>
              <w:t> </w:t>
            </w:r>
            <w:r>
              <w:rPr>
                <w:sz w:val="24"/>
              </w:rPr>
              <w:t>from, for example, surgical drains/cavity</w:t>
            </w:r>
            <w:r>
              <w:rPr>
                <w:spacing w:val="-8"/>
                <w:sz w:val="24"/>
              </w:rPr>
              <w:t> </w:t>
            </w:r>
            <w:r>
              <w:rPr>
                <w:sz w:val="24"/>
              </w:rPr>
              <w:t>drains,</w:t>
            </w:r>
            <w:r>
              <w:rPr>
                <w:spacing w:val="-7"/>
                <w:sz w:val="24"/>
              </w:rPr>
              <w:t> </w:t>
            </w:r>
            <w:r>
              <w:rPr>
                <w:sz w:val="24"/>
              </w:rPr>
              <w:t>for</w:t>
            </w:r>
            <w:r>
              <w:rPr>
                <w:spacing w:val="-5"/>
                <w:sz w:val="24"/>
              </w:rPr>
              <w:t> </w:t>
            </w:r>
            <w:r>
              <w:rPr>
                <w:sz w:val="24"/>
              </w:rPr>
              <w:t>example</w:t>
            </w:r>
            <w:r>
              <w:rPr>
                <w:spacing w:val="-5"/>
                <w:sz w:val="24"/>
              </w:rPr>
              <w:t> </w:t>
            </w:r>
            <w:r>
              <w:rPr>
                <w:sz w:val="24"/>
              </w:rPr>
              <w:t>naso</w:t>
            </w:r>
            <w:r>
              <w:rPr>
                <w:spacing w:val="-5"/>
                <w:sz w:val="24"/>
              </w:rPr>
              <w:t> </w:t>
            </w:r>
            <w:r>
              <w:rPr>
                <w:sz w:val="24"/>
              </w:rPr>
              <w:t>gastric</w:t>
            </w:r>
            <w:r>
              <w:rPr>
                <w:spacing w:val="-8"/>
                <w:sz w:val="24"/>
              </w:rPr>
              <w:t> </w:t>
            </w:r>
            <w:r>
              <w:rPr>
                <w:sz w:val="24"/>
              </w:rPr>
              <w:t>tubes,</w:t>
            </w:r>
            <w:r>
              <w:rPr>
                <w:spacing w:val="-5"/>
                <w:sz w:val="24"/>
              </w:rPr>
              <w:t> </w:t>
            </w:r>
            <w:r>
              <w:rPr>
                <w:sz w:val="24"/>
              </w:rPr>
              <w:t>underwater</w:t>
            </w:r>
            <w:r>
              <w:rPr>
                <w:spacing w:val="-5"/>
                <w:sz w:val="24"/>
              </w:rPr>
              <w:t> </w:t>
            </w:r>
            <w:r>
              <w:rPr>
                <w:sz w:val="24"/>
              </w:rPr>
              <w:t>seal drains, ascitic drains, ileostomy, nephrostomy</w:t>
            </w:r>
          </w:p>
          <w:p>
            <w:pPr>
              <w:pStyle w:val="TableParagraph"/>
              <w:spacing w:before="7"/>
              <w:ind w:left="994"/>
              <w:rPr>
                <w:sz w:val="24"/>
              </w:rPr>
            </w:pPr>
            <w:r>
              <w:rPr>
                <w:sz w:val="24"/>
              </w:rPr>
              <mc:AlternateContent>
                <mc:Choice Requires="wps">
                  <w:drawing>
                    <wp:anchor distT="0" distB="0" distL="0" distR="0" allowOverlap="1" layoutInCell="1" locked="0" behindDoc="1" simplePos="0" relativeHeight="486517248">
                      <wp:simplePos x="0" y="0"/>
                      <wp:positionH relativeFrom="column">
                        <wp:posOffset>402833</wp:posOffset>
                      </wp:positionH>
                      <wp:positionV relativeFrom="paragraph">
                        <wp:posOffset>-5005</wp:posOffset>
                      </wp:positionV>
                      <wp:extent cx="140335" cy="74422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140335" cy="744220"/>
                                <a:chExt cx="140335" cy="744220"/>
                              </a:xfrm>
                            </wpg:grpSpPr>
                            <pic:pic>
                              <pic:nvPicPr>
                                <pic:cNvPr id="53" name="Image 53"/>
                                <pic:cNvPicPr/>
                              </pic:nvPicPr>
                              <pic:blipFill>
                                <a:blip r:embed="rId18" cstate="print"/>
                                <a:stretch>
                                  <a:fillRect/>
                                </a:stretch>
                              </pic:blipFill>
                              <pic:spPr>
                                <a:xfrm>
                                  <a:off x="0" y="0"/>
                                  <a:ext cx="140207" cy="743711"/>
                                </a:xfrm>
                                <a:prstGeom prst="rect">
                                  <a:avLst/>
                                </a:prstGeom>
                              </pic:spPr>
                            </pic:pic>
                          </wpg:wgp>
                        </a:graphicData>
                      </a:graphic>
                    </wp:anchor>
                  </w:drawing>
                </mc:Choice>
                <mc:Fallback>
                  <w:pict>
                    <v:group style="position:absolute;margin-left:31.719179pt;margin-top:-.394119pt;width:11.05pt;height:58.6pt;mso-position-horizontal-relative:column;mso-position-vertical-relative:paragraph;z-index:-16799232" id="docshapegroup10" coordorigin="634,-8" coordsize="221,1172">
                      <v:shape style="position:absolute;left:634;top:-8;width:221;height:1172" type="#_x0000_t75" id="docshape11" stroked="false">
                        <v:imagedata r:id="rId18" o:title=""/>
                      </v:shape>
                      <w10:wrap type="none"/>
                    </v:group>
                  </w:pict>
                </mc:Fallback>
              </mc:AlternateContent>
            </w:r>
            <w:r>
              <w:rPr>
                <w:sz w:val="24"/>
              </w:rPr>
              <w:t>On</w:t>
            </w:r>
            <w:r>
              <w:rPr>
                <w:spacing w:val="-4"/>
                <w:sz w:val="24"/>
              </w:rPr>
              <w:t> </w:t>
            </w:r>
            <w:r>
              <w:rPr>
                <w:sz w:val="24"/>
              </w:rPr>
              <w:t>a</w:t>
            </w:r>
            <w:r>
              <w:rPr>
                <w:spacing w:val="-2"/>
                <w:sz w:val="24"/>
              </w:rPr>
              <w:t> </w:t>
            </w:r>
            <w:r>
              <w:rPr>
                <w:sz w:val="24"/>
              </w:rPr>
              <w:t>restricted</w:t>
            </w:r>
            <w:r>
              <w:rPr>
                <w:spacing w:val="-4"/>
                <w:sz w:val="24"/>
              </w:rPr>
              <w:t> </w:t>
            </w:r>
            <w:r>
              <w:rPr>
                <w:sz w:val="24"/>
              </w:rPr>
              <w:t>fluid</w:t>
            </w:r>
            <w:r>
              <w:rPr>
                <w:spacing w:val="-2"/>
                <w:sz w:val="24"/>
              </w:rPr>
              <w:t> intake</w:t>
            </w:r>
          </w:p>
          <w:p>
            <w:pPr>
              <w:pStyle w:val="TableParagraph"/>
              <w:spacing w:line="252" w:lineRule="auto" w:before="17"/>
              <w:ind w:left="994" w:right="3576"/>
              <w:rPr>
                <w:sz w:val="24"/>
              </w:rPr>
            </w:pPr>
            <w:r>
              <w:rPr>
                <w:sz w:val="24"/>
              </w:rPr>
              <w:t>Nil</w:t>
            </w:r>
            <w:r>
              <w:rPr>
                <w:spacing w:val="-6"/>
                <w:sz w:val="24"/>
              </w:rPr>
              <w:t> </w:t>
            </w:r>
            <w:r>
              <w:rPr>
                <w:sz w:val="24"/>
              </w:rPr>
              <w:t>by</w:t>
            </w:r>
            <w:r>
              <w:rPr>
                <w:spacing w:val="-9"/>
                <w:sz w:val="24"/>
              </w:rPr>
              <w:t> </w:t>
            </w:r>
            <w:r>
              <w:rPr>
                <w:sz w:val="24"/>
              </w:rPr>
              <w:t>mouth</w:t>
            </w:r>
            <w:r>
              <w:rPr>
                <w:spacing w:val="-7"/>
                <w:sz w:val="24"/>
              </w:rPr>
              <w:t> </w:t>
            </w:r>
            <w:r>
              <w:rPr>
                <w:sz w:val="24"/>
              </w:rPr>
              <w:t>more</w:t>
            </w:r>
            <w:r>
              <w:rPr>
                <w:spacing w:val="-6"/>
                <w:sz w:val="24"/>
              </w:rPr>
              <w:t> </w:t>
            </w:r>
            <w:r>
              <w:rPr>
                <w:sz w:val="24"/>
              </w:rPr>
              <w:t>than</w:t>
            </w:r>
            <w:r>
              <w:rPr>
                <w:spacing w:val="-6"/>
                <w:sz w:val="24"/>
              </w:rPr>
              <w:t> </w:t>
            </w:r>
            <w:r>
              <w:rPr>
                <w:sz w:val="24"/>
              </w:rPr>
              <w:t>12</w:t>
            </w:r>
            <w:r>
              <w:rPr>
                <w:spacing w:val="-8"/>
                <w:sz w:val="24"/>
              </w:rPr>
              <w:t> </w:t>
            </w:r>
            <w:r>
              <w:rPr>
                <w:sz w:val="24"/>
              </w:rPr>
              <w:t>hours With vomiting and or diarrhoea</w:t>
            </w:r>
          </w:p>
          <w:p>
            <w:pPr>
              <w:pStyle w:val="TableParagraph"/>
              <w:spacing w:before="4"/>
              <w:ind w:left="994"/>
              <w:rPr>
                <w:sz w:val="24"/>
              </w:rPr>
            </w:pPr>
            <w:r>
              <w:rPr>
                <w:sz w:val="24"/>
              </w:rPr>
              <w:t>Receiving</w:t>
            </w:r>
            <w:r>
              <w:rPr>
                <w:spacing w:val="-7"/>
                <w:sz w:val="24"/>
              </w:rPr>
              <w:t> </w:t>
            </w:r>
            <w:r>
              <w:rPr>
                <w:sz w:val="24"/>
              </w:rPr>
              <w:t>Intravenous</w:t>
            </w:r>
            <w:r>
              <w:rPr>
                <w:spacing w:val="-8"/>
                <w:sz w:val="24"/>
              </w:rPr>
              <w:t> </w:t>
            </w:r>
            <w:r>
              <w:rPr>
                <w:sz w:val="24"/>
              </w:rPr>
              <w:t>fluid</w:t>
            </w:r>
            <w:r>
              <w:rPr>
                <w:spacing w:val="-6"/>
                <w:sz w:val="24"/>
              </w:rPr>
              <w:t> </w:t>
            </w:r>
            <w:r>
              <w:rPr>
                <w:sz w:val="24"/>
              </w:rPr>
              <w:t>therapy,</w:t>
            </w:r>
            <w:r>
              <w:rPr>
                <w:spacing w:val="-6"/>
                <w:sz w:val="24"/>
              </w:rPr>
              <w:t> </w:t>
            </w:r>
            <w:r>
              <w:rPr>
                <w:sz w:val="24"/>
              </w:rPr>
              <w:t>IV</w:t>
            </w:r>
            <w:r>
              <w:rPr>
                <w:spacing w:val="-7"/>
                <w:sz w:val="24"/>
              </w:rPr>
              <w:t> </w:t>
            </w:r>
            <w:r>
              <w:rPr>
                <w:sz w:val="24"/>
              </w:rPr>
              <w:t>medications</w:t>
            </w:r>
            <w:r>
              <w:rPr>
                <w:spacing w:val="-8"/>
                <w:sz w:val="24"/>
              </w:rPr>
              <w:t> </w:t>
            </w:r>
            <w:r>
              <w:rPr>
                <w:sz w:val="24"/>
              </w:rPr>
              <w:t>or</w:t>
            </w:r>
            <w:r>
              <w:rPr>
                <w:spacing w:val="-6"/>
                <w:sz w:val="24"/>
              </w:rPr>
              <w:t> </w:t>
            </w:r>
            <w:r>
              <w:rPr>
                <w:sz w:val="24"/>
              </w:rPr>
              <w:t>parenteral </w:t>
            </w:r>
            <w:r>
              <w:rPr>
                <w:spacing w:val="-2"/>
                <w:sz w:val="24"/>
              </w:rPr>
              <w:t>nutrition</w:t>
            </w:r>
          </w:p>
          <w:p>
            <w:pPr>
              <w:pStyle w:val="TableParagraph"/>
              <w:spacing w:line="237" w:lineRule="auto" w:before="4"/>
              <w:ind w:left="994" w:right="168" w:hanging="360"/>
              <w:jc w:val="both"/>
              <w:rPr>
                <w:sz w:val="24"/>
              </w:rPr>
            </w:pPr>
            <w:r>
              <w:rPr>
                <w:position w:val="-5"/>
              </w:rPr>
              <w:drawing>
                <wp:inline distT="0" distB="0" distL="0" distR="0">
                  <wp:extent cx="140207" cy="187451"/>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With</w:t>
            </w:r>
            <w:r>
              <w:rPr>
                <w:spacing w:val="40"/>
                <w:sz w:val="24"/>
              </w:rPr>
              <w:t> </w:t>
            </w:r>
            <w:r>
              <w:rPr>
                <w:sz w:val="24"/>
              </w:rPr>
              <w:t>known or suspected renal impairment</w:t>
            </w:r>
            <w:r>
              <w:rPr>
                <w:spacing w:val="-1"/>
                <w:sz w:val="24"/>
              </w:rPr>
              <w:t> </w:t>
            </w:r>
            <w:r>
              <w:rPr>
                <w:sz w:val="24"/>
              </w:rPr>
              <w:t>or cardiac conditions</w:t>
            </w:r>
            <w:r>
              <w:rPr>
                <w:spacing w:val="-2"/>
                <w:sz w:val="24"/>
              </w:rPr>
              <w:t> </w:t>
            </w:r>
            <w:r>
              <w:rPr>
                <w:sz w:val="24"/>
              </w:rPr>
              <w:t>i.e. those</w:t>
            </w:r>
            <w:r>
              <w:rPr>
                <w:spacing w:val="-6"/>
                <w:sz w:val="24"/>
              </w:rPr>
              <w:t> </w:t>
            </w:r>
            <w:r>
              <w:rPr>
                <w:sz w:val="24"/>
              </w:rPr>
              <w:t>with</w:t>
            </w:r>
            <w:r>
              <w:rPr>
                <w:spacing w:val="-4"/>
                <w:sz w:val="24"/>
              </w:rPr>
              <w:t> </w:t>
            </w:r>
            <w:r>
              <w:rPr>
                <w:sz w:val="24"/>
              </w:rPr>
              <w:t>an</w:t>
            </w:r>
            <w:r>
              <w:rPr>
                <w:spacing w:val="-4"/>
                <w:sz w:val="24"/>
              </w:rPr>
              <w:t> </w:t>
            </w:r>
            <w:r>
              <w:rPr>
                <w:sz w:val="24"/>
              </w:rPr>
              <w:t>upward</w:t>
            </w:r>
            <w:r>
              <w:rPr>
                <w:spacing w:val="-4"/>
                <w:sz w:val="24"/>
              </w:rPr>
              <w:t> </w:t>
            </w:r>
            <w:r>
              <w:rPr>
                <w:sz w:val="24"/>
              </w:rPr>
              <w:t>trend</w:t>
            </w:r>
            <w:r>
              <w:rPr>
                <w:spacing w:val="-4"/>
                <w:sz w:val="24"/>
              </w:rPr>
              <w:t> </w:t>
            </w:r>
            <w:r>
              <w:rPr>
                <w:sz w:val="24"/>
              </w:rPr>
              <w:t>in</w:t>
            </w:r>
            <w:r>
              <w:rPr>
                <w:spacing w:val="-6"/>
                <w:sz w:val="24"/>
              </w:rPr>
              <w:t> </w:t>
            </w:r>
            <w:r>
              <w:rPr>
                <w:sz w:val="24"/>
              </w:rPr>
              <w:t>urea</w:t>
            </w:r>
            <w:r>
              <w:rPr>
                <w:spacing w:val="-5"/>
                <w:sz w:val="24"/>
              </w:rPr>
              <w:t> </w:t>
            </w:r>
            <w:r>
              <w:rPr>
                <w:sz w:val="24"/>
              </w:rPr>
              <w:t>and</w:t>
            </w:r>
            <w:r>
              <w:rPr>
                <w:spacing w:val="-4"/>
                <w:sz w:val="24"/>
              </w:rPr>
              <w:t> </w:t>
            </w:r>
            <w:r>
              <w:rPr>
                <w:sz w:val="24"/>
              </w:rPr>
              <w:t>creatinine,</w:t>
            </w:r>
            <w:r>
              <w:rPr>
                <w:spacing w:val="-4"/>
                <w:sz w:val="24"/>
              </w:rPr>
              <w:t> </w:t>
            </w:r>
            <w:r>
              <w:rPr>
                <w:sz w:val="24"/>
              </w:rPr>
              <w:t>with</w:t>
            </w:r>
            <w:r>
              <w:rPr>
                <w:spacing w:val="-4"/>
                <w:sz w:val="24"/>
              </w:rPr>
              <w:t> </w:t>
            </w:r>
            <w:r>
              <w:rPr>
                <w:sz w:val="24"/>
              </w:rPr>
              <w:t>an</w:t>
            </w:r>
            <w:r>
              <w:rPr>
                <w:spacing w:val="-6"/>
                <w:sz w:val="24"/>
              </w:rPr>
              <w:t> </w:t>
            </w:r>
            <w:r>
              <w:rPr>
                <w:sz w:val="24"/>
              </w:rPr>
              <w:t>electrolyte imbalance etc</w:t>
            </w:r>
          </w:p>
          <w:p>
            <w:pPr>
              <w:pStyle w:val="TableParagraph"/>
              <w:spacing w:line="235" w:lineRule="auto" w:before="8"/>
              <w:ind w:left="994" w:hanging="360"/>
              <w:rPr>
                <w:sz w:val="24"/>
              </w:rPr>
            </w:pPr>
            <w:r>
              <w:rPr>
                <w:position w:val="-5"/>
              </w:rPr>
              <w:drawing>
                <wp:inline distT="0" distB="0" distL="0" distR="0">
                  <wp:extent cx="140207" cy="187451"/>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With</w:t>
            </w:r>
            <w:r>
              <w:rPr>
                <w:spacing w:val="-5"/>
                <w:sz w:val="24"/>
              </w:rPr>
              <w:t> </w:t>
            </w:r>
            <w:r>
              <w:rPr>
                <w:sz w:val="24"/>
              </w:rPr>
              <w:t>urinary</w:t>
            </w:r>
            <w:r>
              <w:rPr>
                <w:spacing w:val="-7"/>
                <w:sz w:val="24"/>
              </w:rPr>
              <w:t> </w:t>
            </w:r>
            <w:r>
              <w:rPr>
                <w:sz w:val="24"/>
              </w:rPr>
              <w:t>catheters,</w:t>
            </w:r>
            <w:r>
              <w:rPr>
                <w:spacing w:val="-6"/>
                <w:sz w:val="24"/>
              </w:rPr>
              <w:t> </w:t>
            </w:r>
            <w:r>
              <w:rPr>
                <w:sz w:val="24"/>
              </w:rPr>
              <w:t>except</w:t>
            </w:r>
            <w:r>
              <w:rPr>
                <w:spacing w:val="-5"/>
                <w:sz w:val="24"/>
              </w:rPr>
              <w:t> </w:t>
            </w:r>
            <w:r>
              <w:rPr>
                <w:sz w:val="24"/>
              </w:rPr>
              <w:t>for</w:t>
            </w:r>
            <w:r>
              <w:rPr>
                <w:spacing w:val="-3"/>
                <w:sz w:val="24"/>
              </w:rPr>
              <w:t> </w:t>
            </w:r>
            <w:r>
              <w:rPr>
                <w:sz w:val="24"/>
              </w:rPr>
              <w:t>those</w:t>
            </w:r>
            <w:r>
              <w:rPr>
                <w:spacing w:val="-3"/>
                <w:sz w:val="24"/>
              </w:rPr>
              <w:t> </w:t>
            </w:r>
            <w:r>
              <w:rPr>
                <w:sz w:val="24"/>
              </w:rPr>
              <w:t>patients</w:t>
            </w:r>
            <w:r>
              <w:rPr>
                <w:spacing w:val="-3"/>
                <w:sz w:val="24"/>
              </w:rPr>
              <w:t> </w:t>
            </w:r>
            <w:r>
              <w:rPr>
                <w:sz w:val="24"/>
              </w:rPr>
              <w:t>with</w:t>
            </w:r>
            <w:r>
              <w:rPr>
                <w:spacing w:val="-3"/>
                <w:sz w:val="24"/>
              </w:rPr>
              <w:t> </w:t>
            </w:r>
            <w:r>
              <w:rPr>
                <w:sz w:val="24"/>
              </w:rPr>
              <w:t>long-term catheters who do not have an acute onset of illness.</w:t>
            </w:r>
          </w:p>
          <w:p>
            <w:pPr>
              <w:pStyle w:val="TableParagraph"/>
              <w:spacing w:line="235" w:lineRule="auto" w:before="7"/>
              <w:ind w:left="994" w:right="184" w:hanging="360"/>
              <w:rPr>
                <w:sz w:val="24"/>
              </w:rPr>
            </w:pPr>
            <w:r>
              <w:rPr>
                <w:position w:val="-5"/>
              </w:rPr>
              <w:drawing>
                <wp:inline distT="0" distB="0" distL="0" distR="0">
                  <wp:extent cx="140207" cy="187451"/>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Who</w:t>
            </w:r>
            <w:r>
              <w:rPr>
                <w:spacing w:val="-7"/>
                <w:sz w:val="24"/>
              </w:rPr>
              <w:t> </w:t>
            </w:r>
            <w:r>
              <w:rPr>
                <w:sz w:val="24"/>
              </w:rPr>
              <w:t>are</w:t>
            </w:r>
            <w:r>
              <w:rPr>
                <w:spacing w:val="-5"/>
                <w:sz w:val="24"/>
              </w:rPr>
              <w:t> </w:t>
            </w:r>
            <w:r>
              <w:rPr>
                <w:sz w:val="24"/>
              </w:rPr>
              <w:t>not</w:t>
            </w:r>
            <w:r>
              <w:rPr>
                <w:spacing w:val="-3"/>
                <w:sz w:val="24"/>
              </w:rPr>
              <w:t> </w:t>
            </w:r>
            <w:r>
              <w:rPr>
                <w:sz w:val="24"/>
              </w:rPr>
              <w:t>catheterised</w:t>
            </w:r>
            <w:r>
              <w:rPr>
                <w:spacing w:val="-3"/>
                <w:sz w:val="24"/>
              </w:rPr>
              <w:t> </w:t>
            </w:r>
            <w:r>
              <w:rPr>
                <w:sz w:val="24"/>
              </w:rPr>
              <w:t>and</w:t>
            </w:r>
            <w:r>
              <w:rPr>
                <w:spacing w:val="-3"/>
                <w:sz w:val="24"/>
              </w:rPr>
              <w:t> </w:t>
            </w:r>
            <w:r>
              <w:rPr>
                <w:sz w:val="24"/>
              </w:rPr>
              <w:t>it</w:t>
            </w:r>
            <w:r>
              <w:rPr>
                <w:spacing w:val="-5"/>
                <w:sz w:val="24"/>
              </w:rPr>
              <w:t> </w:t>
            </w:r>
            <w:r>
              <w:rPr>
                <w:sz w:val="24"/>
              </w:rPr>
              <w:t>is</w:t>
            </w:r>
            <w:r>
              <w:rPr>
                <w:spacing w:val="-3"/>
                <w:sz w:val="24"/>
              </w:rPr>
              <w:t> </w:t>
            </w:r>
            <w:r>
              <w:rPr>
                <w:sz w:val="24"/>
              </w:rPr>
              <w:t>documented</w:t>
            </w:r>
            <w:r>
              <w:rPr>
                <w:spacing w:val="-3"/>
                <w:sz w:val="24"/>
              </w:rPr>
              <w:t> </w:t>
            </w:r>
            <w:r>
              <w:rPr>
                <w:sz w:val="24"/>
              </w:rPr>
              <w:t>on</w:t>
            </w:r>
            <w:r>
              <w:rPr>
                <w:spacing w:val="-5"/>
                <w:sz w:val="24"/>
              </w:rPr>
              <w:t> </w:t>
            </w:r>
            <w:r>
              <w:rPr>
                <w:sz w:val="24"/>
              </w:rPr>
              <w:t>the</w:t>
            </w:r>
            <w:r>
              <w:rPr>
                <w:spacing w:val="-3"/>
                <w:sz w:val="24"/>
              </w:rPr>
              <w:t> </w:t>
            </w:r>
            <w:r>
              <w:rPr>
                <w:sz w:val="24"/>
              </w:rPr>
              <w:t>observation chart that they have not passed urine in the last 12 hours.</w:t>
            </w:r>
          </w:p>
          <w:p>
            <w:pPr>
              <w:pStyle w:val="TableParagraph"/>
              <w:spacing w:line="235" w:lineRule="auto" w:before="9"/>
              <w:ind w:left="994" w:right="184" w:hanging="360"/>
              <w:rPr>
                <w:sz w:val="24"/>
              </w:rPr>
            </w:pPr>
            <w:r>
              <w:rPr>
                <w:position w:val="-5"/>
              </w:rPr>
              <w:drawing>
                <wp:inline distT="0" distB="0" distL="0" distR="0">
                  <wp:extent cx="140207" cy="187451"/>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Discharged</w:t>
            </w:r>
            <w:r>
              <w:rPr>
                <w:spacing w:val="-5"/>
                <w:sz w:val="24"/>
              </w:rPr>
              <w:t> </w:t>
            </w:r>
            <w:r>
              <w:rPr>
                <w:sz w:val="24"/>
              </w:rPr>
              <w:t>from</w:t>
            </w:r>
            <w:r>
              <w:rPr>
                <w:spacing w:val="-3"/>
                <w:sz w:val="24"/>
              </w:rPr>
              <w:t> </w:t>
            </w:r>
            <w:r>
              <w:rPr>
                <w:sz w:val="24"/>
              </w:rPr>
              <w:t>ICU/</w:t>
            </w:r>
            <w:r>
              <w:rPr>
                <w:spacing w:val="-5"/>
                <w:sz w:val="24"/>
              </w:rPr>
              <w:t> </w:t>
            </w:r>
            <w:r>
              <w:rPr>
                <w:sz w:val="24"/>
              </w:rPr>
              <w:t>HDU</w:t>
            </w:r>
            <w:r>
              <w:rPr>
                <w:spacing w:val="-3"/>
                <w:sz w:val="24"/>
              </w:rPr>
              <w:t> </w:t>
            </w:r>
            <w:r>
              <w:rPr>
                <w:sz w:val="24"/>
              </w:rPr>
              <w:t>for</w:t>
            </w:r>
            <w:r>
              <w:rPr>
                <w:spacing w:val="-1"/>
                <w:sz w:val="24"/>
              </w:rPr>
              <w:t> </w:t>
            </w:r>
            <w:r>
              <w:rPr>
                <w:sz w:val="24"/>
              </w:rPr>
              <w:t>a</w:t>
            </w:r>
            <w:r>
              <w:rPr>
                <w:spacing w:val="-5"/>
                <w:sz w:val="24"/>
              </w:rPr>
              <w:t> </w:t>
            </w:r>
            <w:r>
              <w:rPr>
                <w:sz w:val="24"/>
              </w:rPr>
              <w:t>minimum</w:t>
            </w:r>
            <w:r>
              <w:rPr>
                <w:spacing w:val="-4"/>
                <w:sz w:val="24"/>
              </w:rPr>
              <w:t> </w:t>
            </w:r>
            <w:r>
              <w:rPr>
                <w:sz w:val="24"/>
              </w:rPr>
              <w:t>of</w:t>
            </w:r>
            <w:r>
              <w:rPr>
                <w:spacing w:val="-3"/>
                <w:sz w:val="24"/>
              </w:rPr>
              <w:t> </w:t>
            </w:r>
            <w:r>
              <w:rPr>
                <w:sz w:val="24"/>
              </w:rPr>
              <w:t>48</w:t>
            </w:r>
            <w:r>
              <w:rPr>
                <w:spacing w:val="-3"/>
                <w:sz w:val="24"/>
              </w:rPr>
              <w:t> </w:t>
            </w:r>
            <w:r>
              <w:rPr>
                <w:sz w:val="24"/>
              </w:rPr>
              <w:t>hours</w:t>
            </w:r>
            <w:r>
              <w:rPr>
                <w:spacing w:val="-3"/>
                <w:sz w:val="24"/>
              </w:rPr>
              <w:t> </w:t>
            </w:r>
            <w:r>
              <w:rPr>
                <w:sz w:val="24"/>
              </w:rPr>
              <w:t>post </w:t>
            </w:r>
            <w:r>
              <w:rPr>
                <w:spacing w:val="-2"/>
                <w:sz w:val="24"/>
              </w:rPr>
              <w:t>discharge.</w:t>
            </w:r>
          </w:p>
          <w:p>
            <w:pPr>
              <w:pStyle w:val="TableParagraph"/>
              <w:spacing w:line="237" w:lineRule="auto" w:before="6"/>
              <w:ind w:left="994" w:right="184" w:hanging="360"/>
              <w:rPr>
                <w:sz w:val="24"/>
              </w:rPr>
            </w:pPr>
            <w:r>
              <w:rPr>
                <w:position w:val="-5"/>
              </w:rPr>
              <w:drawing>
                <wp:inline distT="0" distB="0" distL="0" distR="0">
                  <wp:extent cx="140207" cy="187451"/>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All</w:t>
            </w:r>
            <w:r>
              <w:rPr>
                <w:spacing w:val="-5"/>
                <w:sz w:val="24"/>
              </w:rPr>
              <w:t> </w:t>
            </w:r>
            <w:r>
              <w:rPr>
                <w:sz w:val="24"/>
              </w:rPr>
              <w:t>sickle</w:t>
            </w:r>
            <w:r>
              <w:rPr>
                <w:spacing w:val="-4"/>
                <w:sz w:val="24"/>
              </w:rPr>
              <w:t> </w:t>
            </w:r>
            <w:r>
              <w:rPr>
                <w:sz w:val="24"/>
              </w:rPr>
              <w:t>cell</w:t>
            </w:r>
            <w:r>
              <w:rPr>
                <w:spacing w:val="-5"/>
                <w:sz w:val="24"/>
              </w:rPr>
              <w:t> </w:t>
            </w:r>
            <w:r>
              <w:rPr>
                <w:sz w:val="24"/>
              </w:rPr>
              <w:t>disease</w:t>
            </w:r>
            <w:r>
              <w:rPr>
                <w:spacing w:val="-4"/>
                <w:sz w:val="24"/>
              </w:rPr>
              <w:t> </w:t>
            </w:r>
            <w:r>
              <w:rPr>
                <w:sz w:val="24"/>
              </w:rPr>
              <w:t>patients</w:t>
            </w:r>
            <w:r>
              <w:rPr>
                <w:spacing w:val="-6"/>
                <w:sz w:val="24"/>
              </w:rPr>
              <w:t> </w:t>
            </w:r>
            <w:r>
              <w:rPr>
                <w:sz w:val="24"/>
              </w:rPr>
              <w:t>should</w:t>
            </w:r>
            <w:r>
              <w:rPr>
                <w:spacing w:val="-4"/>
                <w:sz w:val="24"/>
              </w:rPr>
              <w:t> </w:t>
            </w:r>
            <w:r>
              <w:rPr>
                <w:sz w:val="24"/>
              </w:rPr>
              <w:t>have</w:t>
            </w:r>
            <w:r>
              <w:rPr>
                <w:spacing w:val="-4"/>
                <w:sz w:val="24"/>
              </w:rPr>
              <w:t> </w:t>
            </w:r>
            <w:r>
              <w:rPr>
                <w:sz w:val="24"/>
              </w:rPr>
              <w:t>a</w:t>
            </w:r>
            <w:r>
              <w:rPr>
                <w:spacing w:val="-3"/>
                <w:sz w:val="24"/>
              </w:rPr>
              <w:t> </w:t>
            </w:r>
            <w:r>
              <w:rPr>
                <w:sz w:val="24"/>
              </w:rPr>
              <w:t>carefully</w:t>
            </w:r>
            <w:r>
              <w:rPr>
                <w:spacing w:val="-7"/>
                <w:sz w:val="24"/>
              </w:rPr>
              <w:t> </w:t>
            </w:r>
            <w:r>
              <w:rPr>
                <w:sz w:val="24"/>
              </w:rPr>
              <w:t>maintained fluid balance chart for the duration of their admission. (NCEPOD </w:t>
            </w:r>
            <w:r>
              <w:rPr>
                <w:spacing w:val="-2"/>
                <w:sz w:val="24"/>
              </w:rPr>
              <w:t>2008)</w:t>
            </w:r>
          </w:p>
          <w:p>
            <w:pPr>
              <w:pStyle w:val="TableParagraph"/>
              <w:spacing w:before="119"/>
              <w:ind w:left="274"/>
              <w:rPr>
                <w:sz w:val="24"/>
              </w:rPr>
            </w:pPr>
            <w:r>
              <w:rPr>
                <w:sz w:val="24"/>
              </w:rPr>
              <w:t>This</w:t>
            </w:r>
            <w:r>
              <w:rPr>
                <w:spacing w:val="-3"/>
                <w:sz w:val="24"/>
              </w:rPr>
              <w:t> </w:t>
            </w:r>
            <w:r>
              <w:rPr>
                <w:sz w:val="24"/>
              </w:rPr>
              <w:t>is</w:t>
            </w:r>
            <w:r>
              <w:rPr>
                <w:spacing w:val="-5"/>
                <w:sz w:val="24"/>
              </w:rPr>
              <w:t> </w:t>
            </w:r>
            <w:r>
              <w:rPr>
                <w:sz w:val="24"/>
              </w:rPr>
              <w:t>not</w:t>
            </w:r>
            <w:r>
              <w:rPr>
                <w:spacing w:val="-4"/>
                <w:sz w:val="24"/>
              </w:rPr>
              <w:t> </w:t>
            </w:r>
            <w:r>
              <w:rPr>
                <w:sz w:val="24"/>
              </w:rPr>
              <w:t>an</w:t>
            </w:r>
            <w:r>
              <w:rPr>
                <w:spacing w:val="-5"/>
                <w:sz w:val="24"/>
              </w:rPr>
              <w:t> </w:t>
            </w:r>
            <w:r>
              <w:rPr>
                <w:sz w:val="24"/>
              </w:rPr>
              <w:t>exhaustive</w:t>
            </w:r>
            <w:r>
              <w:rPr>
                <w:spacing w:val="-3"/>
                <w:sz w:val="24"/>
              </w:rPr>
              <w:t> </w:t>
            </w:r>
            <w:r>
              <w:rPr>
                <w:sz w:val="24"/>
              </w:rPr>
              <w:t>list</w:t>
            </w:r>
            <w:r>
              <w:rPr>
                <w:spacing w:val="-3"/>
                <w:sz w:val="24"/>
              </w:rPr>
              <w:t> </w:t>
            </w:r>
            <w:r>
              <w:rPr>
                <w:sz w:val="24"/>
              </w:rPr>
              <w:t>and</w:t>
            </w:r>
            <w:r>
              <w:rPr>
                <w:spacing w:val="-3"/>
                <w:sz w:val="24"/>
              </w:rPr>
              <w:t> </w:t>
            </w:r>
            <w:r>
              <w:rPr>
                <w:sz w:val="24"/>
              </w:rPr>
              <w:t>there</w:t>
            </w:r>
            <w:r>
              <w:rPr>
                <w:spacing w:val="-4"/>
                <w:sz w:val="24"/>
              </w:rPr>
              <w:t> </w:t>
            </w:r>
            <w:r>
              <w:rPr>
                <w:sz w:val="24"/>
              </w:rPr>
              <w:t>may</w:t>
            </w:r>
            <w:r>
              <w:rPr>
                <w:spacing w:val="-5"/>
                <w:sz w:val="24"/>
              </w:rPr>
              <w:t> </w:t>
            </w:r>
            <w:r>
              <w:rPr>
                <w:sz w:val="24"/>
              </w:rPr>
              <w:t>be</w:t>
            </w:r>
            <w:r>
              <w:rPr>
                <w:spacing w:val="-3"/>
                <w:sz w:val="24"/>
              </w:rPr>
              <w:t> </w:t>
            </w:r>
            <w:r>
              <w:rPr>
                <w:sz w:val="24"/>
              </w:rPr>
              <w:t>other</w:t>
            </w:r>
            <w:r>
              <w:rPr>
                <w:spacing w:val="-3"/>
                <w:sz w:val="24"/>
              </w:rPr>
              <w:t> </w:t>
            </w:r>
            <w:r>
              <w:rPr>
                <w:sz w:val="24"/>
              </w:rPr>
              <w:t>indications</w:t>
            </w:r>
            <w:r>
              <w:rPr>
                <w:spacing w:val="-7"/>
                <w:sz w:val="24"/>
              </w:rPr>
              <w:t> </w:t>
            </w:r>
            <w:r>
              <w:rPr>
                <w:sz w:val="24"/>
              </w:rPr>
              <w:t>for commencing a fluid balance chart.</w:t>
            </w:r>
          </w:p>
          <w:p>
            <w:pPr>
              <w:pStyle w:val="TableParagraph"/>
              <w:spacing w:before="120"/>
              <w:ind w:left="274"/>
              <w:rPr>
                <w:sz w:val="24"/>
              </w:rPr>
            </w:pPr>
            <w:r>
              <w:rPr>
                <w:sz w:val="24"/>
              </w:rPr>
              <w:t>At</w:t>
            </w:r>
            <w:r>
              <w:rPr>
                <w:spacing w:val="-3"/>
                <w:sz w:val="24"/>
              </w:rPr>
              <w:t> </w:t>
            </w:r>
            <w:r>
              <w:rPr>
                <w:sz w:val="24"/>
              </w:rPr>
              <w:t>midnight</w:t>
            </w:r>
            <w:r>
              <w:rPr>
                <w:spacing w:val="-3"/>
                <w:sz w:val="24"/>
              </w:rPr>
              <w:t> </w:t>
            </w:r>
            <w:r>
              <w:rPr>
                <w:sz w:val="24"/>
              </w:rPr>
              <w:t>all</w:t>
            </w:r>
            <w:r>
              <w:rPr>
                <w:spacing w:val="-6"/>
                <w:sz w:val="24"/>
              </w:rPr>
              <w:t> </w:t>
            </w:r>
            <w:r>
              <w:rPr>
                <w:sz w:val="24"/>
              </w:rPr>
              <w:t>fluid</w:t>
            </w:r>
            <w:r>
              <w:rPr>
                <w:spacing w:val="-3"/>
                <w:sz w:val="24"/>
              </w:rPr>
              <w:t> </w:t>
            </w:r>
            <w:r>
              <w:rPr>
                <w:sz w:val="24"/>
              </w:rPr>
              <w:t>balance</w:t>
            </w:r>
            <w:r>
              <w:rPr>
                <w:spacing w:val="-3"/>
                <w:sz w:val="24"/>
              </w:rPr>
              <w:t> </w:t>
            </w:r>
            <w:r>
              <w:rPr>
                <w:sz w:val="24"/>
              </w:rPr>
              <w:t>charts</w:t>
            </w:r>
            <w:r>
              <w:rPr>
                <w:spacing w:val="-6"/>
                <w:sz w:val="24"/>
              </w:rPr>
              <w:t> </w:t>
            </w:r>
            <w:r>
              <w:rPr>
                <w:sz w:val="24"/>
              </w:rPr>
              <w:t>must</w:t>
            </w:r>
            <w:r>
              <w:rPr>
                <w:spacing w:val="-3"/>
                <w:sz w:val="24"/>
              </w:rPr>
              <w:t> </w:t>
            </w:r>
            <w:r>
              <w:rPr>
                <w:sz w:val="24"/>
              </w:rPr>
              <w:t>be</w:t>
            </w:r>
            <w:r>
              <w:rPr>
                <w:spacing w:val="-5"/>
                <w:sz w:val="24"/>
              </w:rPr>
              <w:t> </w:t>
            </w:r>
            <w:r>
              <w:rPr>
                <w:sz w:val="24"/>
              </w:rPr>
              <w:t>totalled to</w:t>
            </w:r>
            <w:r>
              <w:rPr>
                <w:spacing w:val="-3"/>
                <w:sz w:val="24"/>
              </w:rPr>
              <w:t> </w:t>
            </w:r>
            <w:r>
              <w:rPr>
                <w:sz w:val="24"/>
              </w:rPr>
              <w:t>show</w:t>
            </w:r>
            <w:r>
              <w:rPr>
                <w:spacing w:val="-6"/>
                <w:sz w:val="24"/>
              </w:rPr>
              <w:t> </w:t>
            </w:r>
            <w:r>
              <w:rPr>
                <w:sz w:val="24"/>
              </w:rPr>
              <w:t>the</w:t>
            </w:r>
            <w:r>
              <w:rPr>
                <w:spacing w:val="-3"/>
                <w:sz w:val="24"/>
              </w:rPr>
              <w:t> </w:t>
            </w:r>
            <w:r>
              <w:rPr>
                <w:sz w:val="24"/>
              </w:rPr>
              <w:t>daily</w:t>
            </w:r>
            <w:r>
              <w:rPr>
                <w:spacing w:val="-3"/>
                <w:sz w:val="24"/>
              </w:rPr>
              <w:t> </w:t>
            </w:r>
            <w:r>
              <w:rPr>
                <w:sz w:val="24"/>
              </w:rPr>
              <w:t>fluid balance and a cumulative fluid balance recorded to show the collective </w:t>
            </w:r>
            <w:r>
              <w:rPr>
                <w:spacing w:val="-2"/>
                <w:sz w:val="24"/>
              </w:rPr>
              <w:t>balance.</w:t>
            </w:r>
          </w:p>
        </w:tc>
      </w:tr>
      <w:tr>
        <w:trPr>
          <w:trHeight w:val="1267" w:hRule="atLeast"/>
        </w:trPr>
        <w:tc>
          <w:tcPr>
            <w:tcW w:w="659" w:type="dxa"/>
          </w:tcPr>
          <w:p>
            <w:pPr>
              <w:pStyle w:val="TableParagraph"/>
              <w:spacing w:before="48"/>
              <w:rPr>
                <w:rFonts w:ascii="Arial"/>
                <w:b/>
                <w:sz w:val="24"/>
              </w:rPr>
            </w:pPr>
          </w:p>
          <w:p>
            <w:pPr>
              <w:pStyle w:val="TableParagraph"/>
              <w:spacing w:before="1"/>
              <w:ind w:left="50"/>
              <w:rPr>
                <w:rFonts w:ascii="Arial"/>
                <w:b/>
                <w:sz w:val="24"/>
              </w:rPr>
            </w:pPr>
            <w:r>
              <w:rPr>
                <w:rFonts w:ascii="Arial"/>
                <w:b/>
                <w:spacing w:val="-5"/>
                <w:sz w:val="24"/>
              </w:rPr>
              <w:t>4.0</w:t>
            </w:r>
          </w:p>
        </w:tc>
        <w:tc>
          <w:tcPr>
            <w:tcW w:w="8470" w:type="dxa"/>
          </w:tcPr>
          <w:p>
            <w:pPr>
              <w:pStyle w:val="TableParagraph"/>
              <w:spacing w:before="226"/>
              <w:ind w:left="274" w:right="53"/>
              <w:jc w:val="both"/>
              <w:rPr>
                <w:rFonts w:ascii="Arial"/>
                <w:b/>
                <w:sz w:val="24"/>
              </w:rPr>
            </w:pPr>
            <w:r>
              <w:rPr>
                <w:rFonts w:ascii="Arial"/>
                <w:b/>
                <w:sz w:val="24"/>
              </w:rPr>
              <w:t>Process for monitoring compliance to the Observation Policy - Minimum Standards for Monitoring and Recording Adult Physiological Vital Signs.</w:t>
            </w:r>
          </w:p>
        </w:tc>
      </w:tr>
      <w:tr>
        <w:trPr>
          <w:trHeight w:val="4895" w:hRule="atLeast"/>
        </w:trPr>
        <w:tc>
          <w:tcPr>
            <w:tcW w:w="659" w:type="dxa"/>
          </w:tcPr>
          <w:p>
            <w:pPr>
              <w:pStyle w:val="TableParagraph"/>
              <w:rPr>
                <w:rFonts w:ascii="Times New Roman"/>
                <w:sz w:val="22"/>
              </w:rPr>
            </w:pPr>
          </w:p>
        </w:tc>
        <w:tc>
          <w:tcPr>
            <w:tcW w:w="8470" w:type="dxa"/>
          </w:tcPr>
          <w:p>
            <w:pPr>
              <w:pStyle w:val="TableParagraph"/>
              <w:spacing w:before="205"/>
              <w:ind w:left="274"/>
              <w:rPr>
                <w:sz w:val="24"/>
              </w:rPr>
            </w:pPr>
            <w:r>
              <w:rPr>
                <w:sz w:val="24"/>
              </w:rPr>
              <w:t>The</w:t>
            </w:r>
            <w:r>
              <w:rPr>
                <w:spacing w:val="-3"/>
                <w:sz w:val="24"/>
              </w:rPr>
              <w:t> </w:t>
            </w:r>
            <w:r>
              <w:rPr>
                <w:sz w:val="24"/>
              </w:rPr>
              <w:t>CCOT</w:t>
            </w:r>
            <w:r>
              <w:rPr>
                <w:spacing w:val="-2"/>
                <w:sz w:val="24"/>
              </w:rPr>
              <w:t> </w:t>
            </w:r>
            <w:r>
              <w:rPr>
                <w:sz w:val="24"/>
              </w:rPr>
              <w:t>Lead</w:t>
            </w:r>
            <w:r>
              <w:rPr>
                <w:spacing w:val="-6"/>
                <w:sz w:val="24"/>
              </w:rPr>
              <w:t> </w:t>
            </w:r>
            <w:r>
              <w:rPr>
                <w:sz w:val="24"/>
              </w:rPr>
              <w:t>will</w:t>
            </w:r>
            <w:r>
              <w:rPr>
                <w:spacing w:val="-4"/>
                <w:sz w:val="24"/>
              </w:rPr>
              <w:t> </w:t>
            </w:r>
            <w:r>
              <w:rPr>
                <w:sz w:val="24"/>
              </w:rPr>
              <w:t>be</w:t>
            </w:r>
            <w:r>
              <w:rPr>
                <w:spacing w:val="-4"/>
                <w:sz w:val="24"/>
              </w:rPr>
              <w:t> </w:t>
            </w:r>
            <w:r>
              <w:rPr>
                <w:sz w:val="24"/>
              </w:rPr>
              <w:t>responsible</w:t>
            </w:r>
            <w:r>
              <w:rPr>
                <w:spacing w:val="-6"/>
                <w:sz w:val="24"/>
              </w:rPr>
              <w:t> </w:t>
            </w:r>
            <w:r>
              <w:rPr>
                <w:sz w:val="24"/>
              </w:rPr>
              <w:t>to</w:t>
            </w:r>
            <w:r>
              <w:rPr>
                <w:spacing w:val="-5"/>
                <w:sz w:val="24"/>
              </w:rPr>
              <w:t> </w:t>
            </w:r>
            <w:r>
              <w:rPr>
                <w:sz w:val="24"/>
              </w:rPr>
              <w:t>ensure that</w:t>
            </w:r>
            <w:r>
              <w:rPr>
                <w:spacing w:val="-4"/>
                <w:sz w:val="24"/>
              </w:rPr>
              <w:t> </w:t>
            </w:r>
            <w:r>
              <w:rPr>
                <w:sz w:val="24"/>
              </w:rPr>
              <w:t>an</w:t>
            </w:r>
            <w:r>
              <w:rPr>
                <w:spacing w:val="-2"/>
                <w:sz w:val="24"/>
              </w:rPr>
              <w:t> </w:t>
            </w:r>
            <w:r>
              <w:rPr>
                <w:sz w:val="24"/>
              </w:rPr>
              <w:t>audit</w:t>
            </w:r>
            <w:r>
              <w:rPr>
                <w:spacing w:val="-6"/>
                <w:sz w:val="24"/>
              </w:rPr>
              <w:t> </w:t>
            </w:r>
            <w:r>
              <w:rPr>
                <w:sz w:val="24"/>
              </w:rPr>
              <w:t>of</w:t>
            </w:r>
            <w:r>
              <w:rPr>
                <w:spacing w:val="-2"/>
                <w:sz w:val="24"/>
              </w:rPr>
              <w:t> </w:t>
            </w:r>
            <w:r>
              <w:rPr>
                <w:sz w:val="24"/>
              </w:rPr>
              <w:t>compliance</w:t>
            </w:r>
            <w:r>
              <w:rPr>
                <w:spacing w:val="-1"/>
                <w:sz w:val="24"/>
              </w:rPr>
              <w:t> </w:t>
            </w:r>
            <w:r>
              <w:rPr>
                <w:sz w:val="24"/>
              </w:rPr>
              <w:t>to this policy is conducted on a six monthly basis as per Trust Clinical Audit Policy. Additionally other data will be used where available and will be incorporated into the audit reports, for example local audits of compliance undertaken by ward managers.</w:t>
            </w:r>
          </w:p>
          <w:p>
            <w:pPr>
              <w:pStyle w:val="TableParagraph"/>
              <w:spacing w:line="242" w:lineRule="auto" w:before="80"/>
              <w:ind w:left="274"/>
              <w:rPr>
                <w:sz w:val="24"/>
              </w:rPr>
            </w:pPr>
            <w:r>
              <w:rPr>
                <w:sz w:val="24"/>
              </w:rPr>
              <w:t>Every</w:t>
            </w:r>
            <w:r>
              <w:rPr>
                <w:spacing w:val="-6"/>
                <w:sz w:val="24"/>
              </w:rPr>
              <w:t> </w:t>
            </w:r>
            <w:r>
              <w:rPr>
                <w:sz w:val="24"/>
              </w:rPr>
              <w:t>adult</w:t>
            </w:r>
            <w:r>
              <w:rPr>
                <w:spacing w:val="-3"/>
                <w:sz w:val="24"/>
              </w:rPr>
              <w:t> </w:t>
            </w:r>
            <w:r>
              <w:rPr>
                <w:sz w:val="24"/>
              </w:rPr>
              <w:t>ward</w:t>
            </w:r>
            <w:r>
              <w:rPr>
                <w:spacing w:val="-3"/>
                <w:sz w:val="24"/>
              </w:rPr>
              <w:t> </w:t>
            </w:r>
            <w:r>
              <w:rPr>
                <w:sz w:val="24"/>
              </w:rPr>
              <w:t>will</w:t>
            </w:r>
            <w:r>
              <w:rPr>
                <w:spacing w:val="-3"/>
                <w:sz w:val="24"/>
              </w:rPr>
              <w:t> </w:t>
            </w:r>
            <w:r>
              <w:rPr>
                <w:sz w:val="24"/>
              </w:rPr>
              <w:t>be</w:t>
            </w:r>
            <w:r>
              <w:rPr>
                <w:spacing w:val="-3"/>
                <w:sz w:val="24"/>
              </w:rPr>
              <w:t> </w:t>
            </w:r>
            <w:r>
              <w:rPr>
                <w:sz w:val="24"/>
              </w:rPr>
              <w:t>audited</w:t>
            </w:r>
            <w:r>
              <w:rPr>
                <w:spacing w:val="-5"/>
                <w:sz w:val="24"/>
              </w:rPr>
              <w:t> </w:t>
            </w:r>
            <w:r>
              <w:rPr>
                <w:sz w:val="24"/>
              </w:rPr>
              <w:t>using</w:t>
            </w:r>
            <w:r>
              <w:rPr>
                <w:spacing w:val="-4"/>
                <w:sz w:val="24"/>
              </w:rPr>
              <w:t> </w:t>
            </w:r>
            <w:r>
              <w:rPr>
                <w:sz w:val="24"/>
              </w:rPr>
              <w:t>a</w:t>
            </w:r>
            <w:r>
              <w:rPr>
                <w:spacing w:val="-2"/>
                <w:sz w:val="24"/>
              </w:rPr>
              <w:t> </w:t>
            </w:r>
            <w:r>
              <w:rPr>
                <w:sz w:val="24"/>
              </w:rPr>
              <w:t>sample</w:t>
            </w:r>
            <w:r>
              <w:rPr>
                <w:spacing w:val="-3"/>
                <w:sz w:val="24"/>
              </w:rPr>
              <w:t> </w:t>
            </w:r>
            <w:r>
              <w:rPr>
                <w:sz w:val="24"/>
              </w:rPr>
              <w:t>of</w:t>
            </w:r>
            <w:r>
              <w:rPr>
                <w:spacing w:val="-3"/>
                <w:sz w:val="24"/>
              </w:rPr>
              <w:t> </w:t>
            </w:r>
            <w:r>
              <w:rPr>
                <w:sz w:val="24"/>
              </w:rPr>
              <w:t>10</w:t>
            </w:r>
            <w:r>
              <w:rPr>
                <w:spacing w:val="-5"/>
                <w:sz w:val="24"/>
              </w:rPr>
              <w:t> </w:t>
            </w:r>
            <w:r>
              <w:rPr>
                <w:sz w:val="24"/>
              </w:rPr>
              <w:t>random</w:t>
            </w:r>
            <w:r>
              <w:rPr>
                <w:spacing w:val="-4"/>
                <w:sz w:val="24"/>
              </w:rPr>
              <w:t> </w:t>
            </w:r>
            <w:r>
              <w:rPr>
                <w:sz w:val="24"/>
              </w:rPr>
              <w:t>patients, the audit template in appendix D will be used to gather this data</w:t>
            </w:r>
          </w:p>
          <w:p>
            <w:pPr>
              <w:pStyle w:val="TableParagraph"/>
              <w:spacing w:before="73"/>
              <w:ind w:left="274" w:right="48"/>
              <w:jc w:val="both"/>
              <w:rPr>
                <w:sz w:val="24"/>
              </w:rPr>
            </w:pPr>
            <w:r>
              <w:rPr>
                <w:sz w:val="24"/>
              </w:rPr>
              <w:t>Results of the audits will be discussed with appropriate Matrons and Ward Managers who will develop action plans to address any issues highlighted during the audit process.</w:t>
            </w:r>
            <w:r>
              <w:rPr>
                <w:spacing w:val="40"/>
                <w:sz w:val="24"/>
              </w:rPr>
              <w:t> </w:t>
            </w:r>
            <w:r>
              <w:rPr>
                <w:sz w:val="24"/>
              </w:rPr>
              <w:t>The</w:t>
            </w:r>
            <w:r>
              <w:rPr>
                <w:spacing w:val="40"/>
                <w:sz w:val="24"/>
              </w:rPr>
              <w:t> </w:t>
            </w:r>
            <w:r>
              <w:rPr>
                <w:sz w:val="24"/>
              </w:rPr>
              <w:t>action plans will be disseminated to the following groups;</w:t>
            </w:r>
          </w:p>
          <w:p>
            <w:pPr>
              <w:pStyle w:val="TableParagraph"/>
              <w:spacing w:line="302" w:lineRule="auto" w:before="84"/>
              <w:ind w:left="634" w:right="3576"/>
              <w:rPr>
                <w:sz w:val="24"/>
              </w:rPr>
            </w:pPr>
            <w:r>
              <w:rPr>
                <w:position w:val="-5"/>
              </w:rPr>
              <w:drawing>
                <wp:inline distT="0" distB="0" distL="0" distR="0">
                  <wp:extent cx="140207" cy="187451"/>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71"/>
                <w:sz w:val="20"/>
              </w:rPr>
              <w:t> </w:t>
            </w:r>
            <w:r>
              <w:rPr>
                <w:sz w:val="24"/>
              </w:rPr>
              <w:t>Healthcare</w:t>
            </w:r>
            <w:r>
              <w:rPr>
                <w:spacing w:val="-12"/>
                <w:sz w:val="24"/>
              </w:rPr>
              <w:t> </w:t>
            </w:r>
            <w:r>
              <w:rPr>
                <w:sz w:val="24"/>
              </w:rPr>
              <w:t>Governance</w:t>
            </w:r>
            <w:r>
              <w:rPr>
                <w:spacing w:val="-9"/>
                <w:sz w:val="24"/>
              </w:rPr>
              <w:t> </w:t>
            </w:r>
            <w:r>
              <w:rPr>
                <w:sz w:val="24"/>
              </w:rPr>
              <w:t>Committee </w:t>
            </w:r>
            <w:r>
              <w:rPr>
                <w:position w:val="-5"/>
                <w:sz w:val="24"/>
              </w:rPr>
              <w:drawing>
                <wp:inline distT="0" distB="0" distL="0" distR="0">
                  <wp:extent cx="140207" cy="187451"/>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Patient Safety and Quality Board.</w:t>
            </w:r>
          </w:p>
          <w:p>
            <w:pPr>
              <w:pStyle w:val="TableParagraph"/>
              <w:ind w:left="634"/>
              <w:rPr>
                <w:sz w:val="24"/>
              </w:rPr>
            </w:pPr>
            <w:r>
              <w:rPr>
                <w:position w:val="-5"/>
              </w:rPr>
              <w:drawing>
                <wp:inline distT="0" distB="0" distL="0" distR="0">
                  <wp:extent cx="140207" cy="187452"/>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80"/>
                <w:sz w:val="20"/>
              </w:rPr>
              <w:t> </w:t>
            </w:r>
            <w:r>
              <w:rPr>
                <w:sz w:val="24"/>
              </w:rPr>
              <w:t>Senior Nurses, Matrons, Ward Managers</w:t>
            </w:r>
          </w:p>
          <w:p>
            <w:pPr>
              <w:pStyle w:val="TableParagraph"/>
              <w:spacing w:line="275" w:lineRule="exact" w:before="77"/>
              <w:ind w:left="634"/>
              <w:rPr>
                <w:sz w:val="24"/>
              </w:rPr>
            </w:pPr>
            <w:r>
              <w:rPr>
                <w:position w:val="-5"/>
              </w:rPr>
              <w:drawing>
                <wp:inline distT="0" distB="0" distL="0" distR="0">
                  <wp:extent cx="140207" cy="187452"/>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80"/>
                <w:sz w:val="20"/>
              </w:rPr>
              <w:t> </w:t>
            </w:r>
            <w:r>
              <w:rPr>
                <w:sz w:val="24"/>
              </w:rPr>
              <w:t>NHSLA Compliance Manager</w:t>
            </w:r>
          </w:p>
        </w:tc>
      </w:tr>
    </w:tbl>
    <w:p>
      <w:pPr>
        <w:pStyle w:val="TableParagraph"/>
        <w:spacing w:after="0" w:line="275" w:lineRule="exact"/>
        <w:rPr>
          <w:sz w:val="24"/>
        </w:rPr>
        <w:sectPr>
          <w:pgSz w:w="11910" w:h="16840"/>
          <w:pgMar w:header="0" w:footer="955" w:top="680" w:bottom="1563" w:left="425" w:right="566"/>
        </w:sect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9"/>
        <w:gridCol w:w="8470"/>
      </w:tblGrid>
      <w:tr>
        <w:trPr>
          <w:trHeight w:val="628" w:hRule="atLeast"/>
        </w:trPr>
        <w:tc>
          <w:tcPr>
            <w:tcW w:w="659" w:type="dxa"/>
          </w:tcPr>
          <w:p>
            <w:pPr>
              <w:pStyle w:val="TableParagraph"/>
              <w:spacing w:before="129"/>
              <w:ind w:left="50"/>
              <w:rPr>
                <w:rFonts w:ascii="Arial"/>
                <w:b/>
                <w:sz w:val="24"/>
              </w:rPr>
            </w:pPr>
            <w:r>
              <w:rPr>
                <w:rFonts w:ascii="Arial"/>
                <w:b/>
                <w:spacing w:val="-5"/>
                <w:sz w:val="24"/>
              </w:rPr>
              <w:t>5.0</w:t>
            </w:r>
          </w:p>
        </w:tc>
        <w:tc>
          <w:tcPr>
            <w:tcW w:w="8470" w:type="dxa"/>
          </w:tcPr>
          <w:p>
            <w:pPr>
              <w:pStyle w:val="TableParagraph"/>
              <w:ind w:left="274"/>
              <w:rPr>
                <w:rFonts w:ascii="Arial"/>
                <w:b/>
                <w:sz w:val="24"/>
              </w:rPr>
            </w:pPr>
            <w:r>
              <w:rPr>
                <w:rFonts w:ascii="Arial"/>
                <w:b/>
                <w:sz w:val="24"/>
              </w:rPr>
              <w:t>Standards/key</w:t>
            </w:r>
            <w:r>
              <w:rPr>
                <w:rFonts w:ascii="Arial"/>
                <w:b/>
                <w:spacing w:val="40"/>
                <w:sz w:val="24"/>
              </w:rPr>
              <w:t> </w:t>
            </w:r>
            <w:r>
              <w:rPr>
                <w:rFonts w:ascii="Arial"/>
                <w:b/>
                <w:sz w:val="24"/>
              </w:rPr>
              <w:t>performance</w:t>
            </w:r>
            <w:r>
              <w:rPr>
                <w:rFonts w:ascii="Arial"/>
                <w:b/>
                <w:spacing w:val="80"/>
                <w:sz w:val="24"/>
              </w:rPr>
              <w:t> </w:t>
            </w:r>
            <w:r>
              <w:rPr>
                <w:rFonts w:ascii="Arial"/>
                <w:b/>
                <w:sz w:val="24"/>
              </w:rPr>
              <w:t>indicators</w:t>
            </w:r>
            <w:r>
              <w:rPr>
                <w:rFonts w:ascii="Arial"/>
                <w:b/>
                <w:spacing w:val="80"/>
                <w:sz w:val="24"/>
              </w:rPr>
              <w:t> </w:t>
            </w:r>
            <w:r>
              <w:rPr>
                <w:rFonts w:ascii="Arial"/>
                <w:b/>
                <w:sz w:val="24"/>
              </w:rPr>
              <w:t>and</w:t>
            </w:r>
            <w:r>
              <w:rPr>
                <w:rFonts w:ascii="Arial"/>
                <w:b/>
                <w:spacing w:val="80"/>
                <w:sz w:val="24"/>
              </w:rPr>
              <w:t> </w:t>
            </w:r>
            <w:r>
              <w:rPr>
                <w:rFonts w:ascii="Arial"/>
                <w:b/>
                <w:sz w:val="24"/>
              </w:rPr>
              <w:t>process</w:t>
            </w:r>
            <w:r>
              <w:rPr>
                <w:rFonts w:ascii="Arial"/>
                <w:b/>
                <w:spacing w:val="80"/>
                <w:sz w:val="24"/>
              </w:rPr>
              <w:t> </w:t>
            </w:r>
            <w:r>
              <w:rPr>
                <w:rFonts w:ascii="Arial"/>
                <w:b/>
                <w:sz w:val="24"/>
              </w:rPr>
              <w:t>for</w:t>
            </w:r>
            <w:r>
              <w:rPr>
                <w:rFonts w:ascii="Arial"/>
                <w:b/>
                <w:spacing w:val="80"/>
                <w:sz w:val="24"/>
              </w:rPr>
              <w:t> </w:t>
            </w:r>
            <w:r>
              <w:rPr>
                <w:rFonts w:ascii="Arial"/>
                <w:b/>
                <w:sz w:val="24"/>
              </w:rPr>
              <w:t>monitoring </w:t>
            </w:r>
            <w:r>
              <w:rPr>
                <w:rFonts w:ascii="Arial"/>
                <w:b/>
                <w:spacing w:val="-2"/>
                <w:sz w:val="24"/>
              </w:rPr>
              <w:t>compliance</w:t>
            </w:r>
          </w:p>
        </w:tc>
      </w:tr>
      <w:tr>
        <w:trPr>
          <w:trHeight w:val="11308" w:hRule="atLeast"/>
        </w:trPr>
        <w:tc>
          <w:tcPr>
            <w:tcW w:w="659" w:type="dxa"/>
          </w:tcPr>
          <w:p>
            <w:pPr>
              <w:pStyle w:val="TableParagraph"/>
              <w:rPr>
                <w:rFonts w:ascii="Times New Roman"/>
                <w:sz w:val="22"/>
              </w:rPr>
            </w:pPr>
          </w:p>
        </w:tc>
        <w:tc>
          <w:tcPr>
            <w:tcW w:w="8470" w:type="dxa"/>
          </w:tcPr>
          <w:p>
            <w:pPr>
              <w:pStyle w:val="TableParagraph"/>
              <w:spacing w:before="76"/>
              <w:ind w:left="274" w:right="50"/>
              <w:jc w:val="both"/>
              <w:rPr>
                <w:sz w:val="24"/>
              </w:rPr>
            </w:pPr>
            <w:r>
              <w:rPr>
                <w:sz w:val="24"/>
              </w:rPr>
              <w:t>Key performance indicators for the Observational Policy are detailed as follows and will be reviewed during audit. The target for achieving compliance with these key indicators </w:t>
            </w:r>
            <w:r>
              <w:rPr>
                <w:rFonts w:ascii="Arial"/>
                <w:b/>
                <w:sz w:val="24"/>
              </w:rPr>
              <w:t>is 100%. </w:t>
            </w:r>
            <w:r>
              <w:rPr>
                <w:sz w:val="24"/>
              </w:rPr>
              <w:t>(A summary of these key indicators are located in Appendix C)</w:t>
            </w:r>
          </w:p>
          <w:p>
            <w:pPr>
              <w:pStyle w:val="TableParagraph"/>
              <w:spacing w:before="79"/>
              <w:ind w:left="994" w:right="52" w:hanging="360"/>
              <w:jc w:val="both"/>
              <w:rPr>
                <w:sz w:val="24"/>
              </w:rPr>
            </w:pPr>
            <w:r>
              <w:rPr>
                <w:position w:val="-5"/>
              </w:rPr>
              <w:drawing>
                <wp:inline distT="0" distB="0" distL="0" distR="0">
                  <wp:extent cx="140207" cy="187451"/>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All patients admitted into UHSM Foundation Trust will have a Trust observation chart.</w:t>
            </w:r>
          </w:p>
          <w:p>
            <w:pPr>
              <w:pStyle w:val="TableParagraph"/>
              <w:spacing w:before="77"/>
              <w:ind w:left="994" w:right="57" w:hanging="360"/>
              <w:jc w:val="both"/>
              <w:rPr>
                <w:sz w:val="24"/>
              </w:rPr>
            </w:pPr>
            <w:r>
              <w:rPr>
                <w:position w:val="-5"/>
              </w:rPr>
              <w:drawing>
                <wp:inline distT="0" distB="0" distL="0" distR="0">
                  <wp:extent cx="140207" cy="187451"/>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All Adult patients to have a medical management plan recorded stating frequency of observations on admission.</w:t>
            </w:r>
          </w:p>
          <w:p>
            <w:pPr>
              <w:pStyle w:val="TableParagraph"/>
              <w:spacing w:before="77"/>
              <w:ind w:left="994" w:right="53" w:hanging="360"/>
              <w:jc w:val="both"/>
              <w:rPr>
                <w:sz w:val="24"/>
              </w:rPr>
            </w:pPr>
            <w:r>
              <w:rPr>
                <w:position w:val="-5"/>
              </w:rPr>
              <w:drawing>
                <wp:inline distT="0" distB="0" distL="0" distR="0">
                  <wp:extent cx="140207" cy="187451"/>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Adult in patients to have observations undertaken 12 hourly as a minimum standard (exceptions to this standard refer to section 3.2.8, and 3.2.9 of this</w:t>
            </w:r>
            <w:r>
              <w:rPr>
                <w:spacing w:val="40"/>
                <w:sz w:val="24"/>
              </w:rPr>
              <w:t> </w:t>
            </w:r>
            <w:r>
              <w:rPr>
                <w:sz w:val="24"/>
              </w:rPr>
              <w:t>policy)</w:t>
            </w:r>
          </w:p>
          <w:p>
            <w:pPr>
              <w:pStyle w:val="TableParagraph"/>
              <w:spacing w:line="237" w:lineRule="auto" w:before="79"/>
              <w:ind w:left="994" w:hanging="360"/>
              <w:rPr>
                <w:sz w:val="24"/>
              </w:rPr>
            </w:pPr>
            <w:r>
              <w:rPr>
                <w:position w:val="-5"/>
              </w:rPr>
              <w:drawing>
                <wp:inline distT="0" distB="0" distL="0" distR="0">
                  <wp:extent cx="140207" cy="187451"/>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Frequency</w:t>
            </w:r>
            <w:r>
              <w:rPr>
                <w:spacing w:val="-6"/>
                <w:sz w:val="24"/>
              </w:rPr>
              <w:t> </w:t>
            </w:r>
            <w:r>
              <w:rPr>
                <w:sz w:val="24"/>
              </w:rPr>
              <w:t>of</w:t>
            </w:r>
            <w:r>
              <w:rPr>
                <w:spacing w:val="-3"/>
                <w:sz w:val="24"/>
              </w:rPr>
              <w:t> </w:t>
            </w:r>
            <w:r>
              <w:rPr>
                <w:sz w:val="24"/>
              </w:rPr>
              <w:t>observations</w:t>
            </w:r>
            <w:r>
              <w:rPr>
                <w:spacing w:val="40"/>
                <w:sz w:val="24"/>
              </w:rPr>
              <w:t> </w:t>
            </w:r>
            <w:r>
              <w:rPr>
                <w:sz w:val="24"/>
              </w:rPr>
              <w:t>determined</w:t>
            </w:r>
            <w:r>
              <w:rPr>
                <w:spacing w:val="-3"/>
                <w:sz w:val="24"/>
              </w:rPr>
              <w:t> </w:t>
            </w:r>
            <w:r>
              <w:rPr>
                <w:sz w:val="24"/>
              </w:rPr>
              <w:t>by</w:t>
            </w:r>
            <w:r>
              <w:rPr>
                <w:spacing w:val="-6"/>
                <w:sz w:val="24"/>
              </w:rPr>
              <w:t> </w:t>
            </w:r>
            <w:r>
              <w:rPr>
                <w:sz w:val="24"/>
              </w:rPr>
              <w:t>the</w:t>
            </w:r>
            <w:r>
              <w:rPr>
                <w:spacing w:val="-5"/>
                <w:sz w:val="24"/>
              </w:rPr>
              <w:t> </w:t>
            </w:r>
            <w:r>
              <w:rPr>
                <w:sz w:val="24"/>
              </w:rPr>
              <w:t>MEWS,</w:t>
            </w:r>
            <w:r>
              <w:rPr>
                <w:spacing w:val="40"/>
                <w:sz w:val="24"/>
              </w:rPr>
              <w:t> </w:t>
            </w:r>
            <w:r>
              <w:rPr>
                <w:sz w:val="24"/>
              </w:rPr>
              <w:t>unless</w:t>
            </w:r>
            <w:r>
              <w:rPr>
                <w:spacing w:val="-3"/>
                <w:sz w:val="24"/>
              </w:rPr>
              <w:t> </w:t>
            </w:r>
            <w:r>
              <w:rPr>
                <w:sz w:val="24"/>
              </w:rPr>
              <w:t>a decision has been made to increase or decrease frequency of </w:t>
            </w:r>
            <w:r>
              <w:rPr>
                <w:spacing w:val="-2"/>
                <w:sz w:val="24"/>
              </w:rPr>
              <w:t>observations</w:t>
            </w:r>
          </w:p>
          <w:p>
            <w:pPr>
              <w:pStyle w:val="TableParagraph"/>
              <w:spacing w:before="2"/>
              <w:ind w:left="3435"/>
              <w:rPr>
                <w:sz w:val="24"/>
              </w:rPr>
            </w:pPr>
            <w:r>
              <w:rPr>
                <w:sz w:val="24"/>
              </w:rPr>
              <w:t>0:</w:t>
            </w:r>
            <w:r>
              <w:rPr>
                <w:spacing w:val="-6"/>
                <w:sz w:val="24"/>
              </w:rPr>
              <w:t> </w:t>
            </w:r>
            <w:r>
              <w:rPr>
                <w:sz w:val="24"/>
              </w:rPr>
              <w:t>minimum</w:t>
            </w:r>
            <w:r>
              <w:rPr>
                <w:spacing w:val="-2"/>
                <w:sz w:val="24"/>
              </w:rPr>
              <w:t> </w:t>
            </w:r>
            <w:r>
              <w:rPr>
                <w:sz w:val="24"/>
              </w:rPr>
              <w:t>12</w:t>
            </w:r>
            <w:r>
              <w:rPr>
                <w:spacing w:val="-4"/>
                <w:sz w:val="24"/>
              </w:rPr>
              <w:t> </w:t>
            </w:r>
            <w:r>
              <w:rPr>
                <w:sz w:val="24"/>
              </w:rPr>
              <w:t>hourly</w:t>
            </w:r>
            <w:r>
              <w:rPr>
                <w:spacing w:val="-4"/>
                <w:sz w:val="24"/>
              </w:rPr>
              <w:t> </w:t>
            </w:r>
            <w:r>
              <w:rPr>
                <w:spacing w:val="-2"/>
                <w:sz w:val="24"/>
              </w:rPr>
              <w:t>observations</w:t>
            </w:r>
          </w:p>
          <w:p>
            <w:pPr>
              <w:pStyle w:val="TableParagraph"/>
              <w:ind w:left="3169"/>
              <w:rPr>
                <w:sz w:val="24"/>
              </w:rPr>
            </w:pPr>
            <w:r>
              <w:rPr>
                <w:sz w:val="24"/>
              </w:rPr>
              <w:t>1-2:</w:t>
            </w:r>
            <w:r>
              <w:rPr>
                <w:spacing w:val="-6"/>
                <w:sz w:val="24"/>
              </w:rPr>
              <w:t> </w:t>
            </w:r>
            <w:r>
              <w:rPr>
                <w:sz w:val="24"/>
              </w:rPr>
              <w:t>minimum</w:t>
            </w:r>
            <w:r>
              <w:rPr>
                <w:spacing w:val="-2"/>
                <w:sz w:val="24"/>
              </w:rPr>
              <w:t> </w:t>
            </w:r>
            <w:r>
              <w:rPr>
                <w:sz w:val="24"/>
              </w:rPr>
              <w:t>4</w:t>
            </w:r>
            <w:r>
              <w:rPr>
                <w:spacing w:val="-5"/>
                <w:sz w:val="24"/>
              </w:rPr>
              <w:t> </w:t>
            </w:r>
            <w:r>
              <w:rPr>
                <w:sz w:val="24"/>
              </w:rPr>
              <w:t>hourly</w:t>
            </w:r>
            <w:r>
              <w:rPr>
                <w:spacing w:val="-6"/>
                <w:sz w:val="24"/>
              </w:rPr>
              <w:t> </w:t>
            </w:r>
            <w:r>
              <w:rPr>
                <w:spacing w:val="-2"/>
                <w:sz w:val="24"/>
              </w:rPr>
              <w:t>observations</w:t>
            </w:r>
          </w:p>
          <w:p>
            <w:pPr>
              <w:pStyle w:val="TableParagraph"/>
              <w:ind w:left="3169"/>
              <w:rPr>
                <w:sz w:val="24"/>
              </w:rPr>
            </w:pPr>
            <w:r>
              <w:rPr>
                <w:sz w:val="24"/>
              </w:rPr>
              <w:t>3-6:</w:t>
            </w:r>
            <w:r>
              <w:rPr>
                <w:spacing w:val="-7"/>
                <w:sz w:val="24"/>
              </w:rPr>
              <w:t> </w:t>
            </w:r>
            <w:r>
              <w:rPr>
                <w:sz w:val="24"/>
              </w:rPr>
              <w:t>minimum</w:t>
            </w:r>
            <w:r>
              <w:rPr>
                <w:spacing w:val="-4"/>
                <w:sz w:val="24"/>
              </w:rPr>
              <w:t> </w:t>
            </w:r>
            <w:r>
              <w:rPr>
                <w:spacing w:val="-2"/>
                <w:sz w:val="24"/>
              </w:rPr>
              <w:t>1hourly</w:t>
            </w:r>
          </w:p>
          <w:p>
            <w:pPr>
              <w:pStyle w:val="TableParagraph"/>
              <w:spacing w:line="312" w:lineRule="auto"/>
              <w:ind w:left="634" w:right="1847" w:firstLine="1800"/>
              <w:rPr>
                <w:sz w:val="24"/>
              </w:rPr>
            </w:pPr>
            <w:r>
              <w:rPr>
                <w:sz w:val="24"/>
              </w:rPr>
              <w:t>7</w:t>
            </w:r>
            <w:r>
              <w:rPr>
                <w:spacing w:val="-6"/>
                <w:sz w:val="24"/>
              </w:rPr>
              <w:t> </w:t>
            </w:r>
            <w:r>
              <w:rPr>
                <w:sz w:val="24"/>
              </w:rPr>
              <w:t>or</w:t>
            </w:r>
            <w:r>
              <w:rPr>
                <w:spacing w:val="-8"/>
                <w:sz w:val="24"/>
              </w:rPr>
              <w:t> </w:t>
            </w:r>
            <w:r>
              <w:rPr>
                <w:sz w:val="24"/>
              </w:rPr>
              <w:t>more</w:t>
            </w:r>
            <w:r>
              <w:rPr>
                <w:spacing w:val="-6"/>
                <w:sz w:val="24"/>
              </w:rPr>
              <w:t> </w:t>
            </w:r>
            <w:r>
              <w:rPr>
                <w:sz w:val="24"/>
              </w:rPr>
              <w:t>:minimum</w:t>
            </w:r>
            <w:r>
              <w:rPr>
                <w:spacing w:val="-5"/>
                <w:sz w:val="24"/>
              </w:rPr>
              <w:t> </w:t>
            </w:r>
            <w:r>
              <w:rPr>
                <w:sz w:val="24"/>
              </w:rPr>
              <w:t>every</w:t>
            </w:r>
            <w:r>
              <w:rPr>
                <w:spacing w:val="-9"/>
                <w:sz w:val="24"/>
              </w:rPr>
              <w:t> </w:t>
            </w:r>
            <w:r>
              <w:rPr>
                <w:sz w:val="24"/>
              </w:rPr>
              <w:t>30</w:t>
            </w:r>
            <w:r>
              <w:rPr>
                <w:spacing w:val="-6"/>
                <w:sz w:val="24"/>
              </w:rPr>
              <w:t> </w:t>
            </w:r>
            <w:r>
              <w:rPr>
                <w:sz w:val="24"/>
              </w:rPr>
              <w:t>minutes </w:t>
            </w:r>
            <w:r>
              <w:rPr>
                <w:position w:val="-5"/>
                <w:sz w:val="24"/>
              </w:rPr>
              <w:drawing>
                <wp:inline distT="0" distB="0" distL="0" distR="0">
                  <wp:extent cx="140207" cy="187451"/>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80"/>
                <w:sz w:val="24"/>
              </w:rPr>
              <w:t> </w:t>
            </w:r>
            <w:r>
              <w:rPr>
                <w:sz w:val="24"/>
              </w:rPr>
              <w:t>Entries on the observation chart to be dated.</w:t>
            </w:r>
          </w:p>
          <w:p>
            <w:pPr>
              <w:pStyle w:val="TableParagraph"/>
              <w:spacing w:line="237" w:lineRule="auto"/>
              <w:ind w:left="994" w:hanging="360"/>
              <w:rPr>
                <w:sz w:val="24"/>
              </w:rPr>
            </w:pPr>
            <w:r>
              <w:rPr>
                <w:position w:val="-5"/>
              </w:rPr>
              <w:drawing>
                <wp:inline distT="0" distB="0" distL="0" distR="0">
                  <wp:extent cx="140207" cy="187451"/>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All</w:t>
            </w:r>
            <w:r>
              <w:rPr>
                <w:spacing w:val="40"/>
                <w:sz w:val="24"/>
              </w:rPr>
              <w:t> </w:t>
            </w:r>
            <w:r>
              <w:rPr>
                <w:sz w:val="24"/>
              </w:rPr>
              <w:t>entries</w:t>
            </w:r>
            <w:r>
              <w:rPr>
                <w:spacing w:val="40"/>
                <w:sz w:val="24"/>
              </w:rPr>
              <w:t> </w:t>
            </w:r>
            <w:r>
              <w:rPr>
                <w:sz w:val="24"/>
              </w:rPr>
              <w:t>on</w:t>
            </w:r>
            <w:r>
              <w:rPr>
                <w:spacing w:val="40"/>
                <w:sz w:val="24"/>
              </w:rPr>
              <w:t> </w:t>
            </w:r>
            <w:r>
              <w:rPr>
                <w:sz w:val="24"/>
              </w:rPr>
              <w:t>the</w:t>
            </w:r>
            <w:r>
              <w:rPr>
                <w:spacing w:val="40"/>
                <w:sz w:val="24"/>
              </w:rPr>
              <w:t> </w:t>
            </w:r>
            <w:r>
              <w:rPr>
                <w:sz w:val="24"/>
              </w:rPr>
              <w:t>observation</w:t>
            </w:r>
            <w:r>
              <w:rPr>
                <w:spacing w:val="40"/>
                <w:sz w:val="24"/>
              </w:rPr>
              <w:t> </w:t>
            </w:r>
            <w:r>
              <w:rPr>
                <w:sz w:val="24"/>
              </w:rPr>
              <w:t>chart</w:t>
            </w:r>
            <w:r>
              <w:rPr>
                <w:spacing w:val="40"/>
                <w:sz w:val="24"/>
              </w:rPr>
              <w:t> </w:t>
            </w:r>
            <w:r>
              <w:rPr>
                <w:sz w:val="24"/>
              </w:rPr>
              <w:t>to</w:t>
            </w:r>
            <w:r>
              <w:rPr>
                <w:spacing w:val="40"/>
                <w:sz w:val="24"/>
              </w:rPr>
              <w:t> </w:t>
            </w:r>
            <w:r>
              <w:rPr>
                <w:sz w:val="24"/>
              </w:rPr>
              <w:t>specify</w:t>
            </w:r>
            <w:r>
              <w:rPr>
                <w:spacing w:val="40"/>
                <w:sz w:val="24"/>
              </w:rPr>
              <w:t> </w:t>
            </w:r>
            <w:r>
              <w:rPr>
                <w:sz w:val="24"/>
              </w:rPr>
              <w:t>the</w:t>
            </w:r>
            <w:r>
              <w:rPr>
                <w:spacing w:val="40"/>
                <w:sz w:val="24"/>
              </w:rPr>
              <w:t> </w:t>
            </w:r>
            <w:r>
              <w:rPr>
                <w:sz w:val="24"/>
              </w:rPr>
              <w:t>actual</w:t>
            </w:r>
            <w:r>
              <w:rPr>
                <w:spacing w:val="40"/>
                <w:sz w:val="24"/>
              </w:rPr>
              <w:t> </w:t>
            </w:r>
            <w:r>
              <w:rPr>
                <w:sz w:val="24"/>
              </w:rPr>
              <w:t>time</w:t>
            </w:r>
            <w:r>
              <w:rPr>
                <w:spacing w:val="40"/>
                <w:sz w:val="24"/>
              </w:rPr>
              <w:t> </w:t>
            </w:r>
            <w:r>
              <w:rPr>
                <w:sz w:val="24"/>
              </w:rPr>
              <w:t>the observations were undertaken.</w:t>
            </w:r>
          </w:p>
          <w:p>
            <w:pPr>
              <w:pStyle w:val="TableParagraph"/>
              <w:spacing w:before="72"/>
              <w:ind w:left="634"/>
              <w:rPr>
                <w:sz w:val="24"/>
              </w:rPr>
            </w:pPr>
            <w:r>
              <w:rPr>
                <w:position w:val="-5"/>
              </w:rPr>
              <w:drawing>
                <wp:inline distT="0" distB="0" distL="0" distR="0">
                  <wp:extent cx="140207" cy="187451"/>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Each set of observations to include</w:t>
            </w:r>
          </w:p>
          <w:p>
            <w:pPr>
              <w:pStyle w:val="TableParagraph"/>
              <w:numPr>
                <w:ilvl w:val="0"/>
                <w:numId w:val="5"/>
              </w:numPr>
              <w:tabs>
                <w:tab w:pos="1713" w:val="left" w:leader="none"/>
              </w:tabs>
              <w:spacing w:line="240" w:lineRule="auto" w:before="77" w:after="0"/>
              <w:ind w:left="1713" w:right="0" w:hanging="359"/>
              <w:jc w:val="left"/>
              <w:rPr>
                <w:sz w:val="24"/>
              </w:rPr>
            </w:pPr>
            <w:r>
              <w:rPr>
                <w:sz w:val="24"/>
              </w:rPr>
              <w:t>respiratory</w:t>
            </w:r>
            <w:r>
              <w:rPr>
                <w:spacing w:val="-11"/>
                <w:sz w:val="24"/>
              </w:rPr>
              <w:t> </w:t>
            </w:r>
            <w:r>
              <w:rPr>
                <w:spacing w:val="-4"/>
                <w:sz w:val="24"/>
              </w:rPr>
              <w:t>rate</w:t>
            </w:r>
          </w:p>
          <w:p>
            <w:pPr>
              <w:pStyle w:val="TableParagraph"/>
              <w:numPr>
                <w:ilvl w:val="0"/>
                <w:numId w:val="5"/>
              </w:numPr>
              <w:tabs>
                <w:tab w:pos="1713" w:val="left" w:leader="none"/>
              </w:tabs>
              <w:spacing w:line="240" w:lineRule="auto" w:before="58" w:after="0"/>
              <w:ind w:left="1713" w:right="0" w:hanging="359"/>
              <w:jc w:val="left"/>
              <w:rPr>
                <w:sz w:val="24"/>
              </w:rPr>
            </w:pPr>
            <w:r>
              <w:rPr>
                <w:sz w:val="24"/>
              </w:rPr>
              <w:t>pulse</w:t>
            </w:r>
            <w:r>
              <w:rPr>
                <w:spacing w:val="-5"/>
                <w:sz w:val="24"/>
              </w:rPr>
              <w:t> </w:t>
            </w:r>
            <w:r>
              <w:rPr>
                <w:sz w:val="24"/>
              </w:rPr>
              <w:t>(graph</w:t>
            </w:r>
            <w:r>
              <w:rPr>
                <w:spacing w:val="-5"/>
                <w:sz w:val="24"/>
              </w:rPr>
              <w:t> </w:t>
            </w:r>
            <w:r>
              <w:rPr>
                <w:spacing w:val="-4"/>
                <w:sz w:val="24"/>
              </w:rPr>
              <w:t>form)</w:t>
            </w:r>
          </w:p>
          <w:p>
            <w:pPr>
              <w:pStyle w:val="TableParagraph"/>
              <w:numPr>
                <w:ilvl w:val="0"/>
                <w:numId w:val="5"/>
              </w:numPr>
              <w:tabs>
                <w:tab w:pos="1713" w:val="left" w:leader="none"/>
              </w:tabs>
              <w:spacing w:line="240" w:lineRule="auto" w:before="58" w:after="0"/>
              <w:ind w:left="1713" w:right="0" w:hanging="359"/>
              <w:jc w:val="left"/>
              <w:rPr>
                <w:sz w:val="24"/>
              </w:rPr>
            </w:pPr>
            <w:r>
              <w:rPr>
                <w:sz w:val="24"/>
              </w:rPr>
              <w:t>Heart</w:t>
            </w:r>
            <w:r>
              <w:rPr>
                <w:spacing w:val="-3"/>
                <w:sz w:val="24"/>
              </w:rPr>
              <w:t> </w:t>
            </w:r>
            <w:r>
              <w:rPr>
                <w:sz w:val="24"/>
              </w:rPr>
              <w:t>rhythm</w:t>
            </w:r>
            <w:r>
              <w:rPr>
                <w:spacing w:val="-2"/>
                <w:sz w:val="24"/>
              </w:rPr>
              <w:t> </w:t>
            </w:r>
            <w:r>
              <w:rPr>
                <w:sz w:val="24"/>
              </w:rPr>
              <w:t>(characteristic</w:t>
            </w:r>
            <w:r>
              <w:rPr>
                <w:spacing w:val="-3"/>
                <w:sz w:val="24"/>
              </w:rPr>
              <w:t> </w:t>
            </w:r>
            <w:r>
              <w:rPr>
                <w:sz w:val="24"/>
              </w:rPr>
              <w:t>of</w:t>
            </w:r>
            <w:r>
              <w:rPr>
                <w:spacing w:val="-3"/>
                <w:sz w:val="24"/>
              </w:rPr>
              <w:t> </w:t>
            </w:r>
            <w:r>
              <w:rPr>
                <w:sz w:val="24"/>
              </w:rPr>
              <w:t>the</w:t>
            </w:r>
            <w:r>
              <w:rPr>
                <w:spacing w:val="-5"/>
                <w:sz w:val="24"/>
              </w:rPr>
              <w:t> </w:t>
            </w:r>
            <w:r>
              <w:rPr>
                <w:sz w:val="24"/>
              </w:rPr>
              <w:t>pulse,</w:t>
            </w:r>
            <w:r>
              <w:rPr>
                <w:spacing w:val="-3"/>
                <w:sz w:val="24"/>
              </w:rPr>
              <w:t> </w:t>
            </w:r>
            <w:r>
              <w:rPr>
                <w:sz w:val="24"/>
              </w:rPr>
              <w:t>i.e.</w:t>
            </w:r>
            <w:r>
              <w:rPr>
                <w:spacing w:val="-3"/>
                <w:sz w:val="24"/>
              </w:rPr>
              <w:t> </w:t>
            </w:r>
            <w:r>
              <w:rPr>
                <w:sz w:val="24"/>
              </w:rPr>
              <w:t>regular,</w:t>
            </w:r>
            <w:r>
              <w:rPr>
                <w:spacing w:val="-2"/>
                <w:sz w:val="24"/>
              </w:rPr>
              <w:t> irregular)</w:t>
            </w:r>
          </w:p>
          <w:p>
            <w:pPr>
              <w:pStyle w:val="TableParagraph"/>
              <w:numPr>
                <w:ilvl w:val="0"/>
                <w:numId w:val="5"/>
              </w:numPr>
              <w:tabs>
                <w:tab w:pos="1713" w:val="left" w:leader="none"/>
              </w:tabs>
              <w:spacing w:line="240" w:lineRule="auto" w:before="58" w:after="0"/>
              <w:ind w:left="1713" w:right="0" w:hanging="359"/>
              <w:jc w:val="left"/>
              <w:rPr>
                <w:sz w:val="24"/>
              </w:rPr>
            </w:pPr>
            <w:r>
              <w:rPr>
                <w:sz w:val="24"/>
              </w:rPr>
              <w:t>systemic</w:t>
            </w:r>
            <w:r>
              <w:rPr>
                <w:spacing w:val="-3"/>
                <w:sz w:val="24"/>
              </w:rPr>
              <w:t> </w:t>
            </w:r>
            <w:r>
              <w:rPr>
                <w:sz w:val="24"/>
              </w:rPr>
              <w:t>blood</w:t>
            </w:r>
            <w:r>
              <w:rPr>
                <w:spacing w:val="-3"/>
                <w:sz w:val="24"/>
              </w:rPr>
              <w:t> </w:t>
            </w:r>
            <w:r>
              <w:rPr>
                <w:sz w:val="24"/>
              </w:rPr>
              <w:t>pressure</w:t>
            </w:r>
            <w:r>
              <w:rPr>
                <w:spacing w:val="-3"/>
                <w:sz w:val="24"/>
              </w:rPr>
              <w:t> </w:t>
            </w:r>
            <w:r>
              <w:rPr>
                <w:sz w:val="24"/>
              </w:rPr>
              <w:t>(graph</w:t>
            </w:r>
            <w:r>
              <w:rPr>
                <w:spacing w:val="-5"/>
                <w:sz w:val="24"/>
              </w:rPr>
              <w:t> </w:t>
            </w:r>
            <w:r>
              <w:rPr>
                <w:sz w:val="24"/>
              </w:rPr>
              <w:t>form</w:t>
            </w:r>
            <w:r>
              <w:rPr>
                <w:spacing w:val="-2"/>
                <w:sz w:val="24"/>
              </w:rPr>
              <w:t> </w:t>
            </w:r>
            <w:r>
              <w:rPr>
                <w:sz w:val="24"/>
              </w:rPr>
              <w:t>not</w:t>
            </w:r>
            <w:r>
              <w:rPr>
                <w:spacing w:val="-2"/>
                <w:sz w:val="24"/>
              </w:rPr>
              <w:t> numerical)</w:t>
            </w:r>
          </w:p>
          <w:p>
            <w:pPr>
              <w:pStyle w:val="TableParagraph"/>
              <w:numPr>
                <w:ilvl w:val="0"/>
                <w:numId w:val="5"/>
              </w:numPr>
              <w:tabs>
                <w:tab w:pos="1713" w:val="left" w:leader="none"/>
              </w:tabs>
              <w:spacing w:line="240" w:lineRule="auto" w:before="61" w:after="0"/>
              <w:ind w:left="1713" w:right="0" w:hanging="359"/>
              <w:jc w:val="left"/>
              <w:rPr>
                <w:sz w:val="24"/>
              </w:rPr>
            </w:pPr>
            <w:r>
              <w:rPr>
                <w:sz w:val="24"/>
              </w:rPr>
              <w:t>level</w:t>
            </w:r>
            <w:r>
              <w:rPr>
                <w:spacing w:val="-5"/>
                <w:sz w:val="24"/>
              </w:rPr>
              <w:t> </w:t>
            </w:r>
            <w:r>
              <w:rPr>
                <w:sz w:val="24"/>
              </w:rPr>
              <w:t>of</w:t>
            </w:r>
            <w:r>
              <w:rPr>
                <w:spacing w:val="-2"/>
                <w:sz w:val="24"/>
              </w:rPr>
              <w:t> </w:t>
            </w:r>
            <w:r>
              <w:rPr>
                <w:sz w:val="24"/>
              </w:rPr>
              <w:t>Consciousness</w:t>
            </w:r>
            <w:r>
              <w:rPr>
                <w:spacing w:val="-7"/>
                <w:sz w:val="24"/>
              </w:rPr>
              <w:t> </w:t>
            </w:r>
            <w:r>
              <w:rPr>
                <w:spacing w:val="-2"/>
                <w:sz w:val="24"/>
              </w:rPr>
              <w:t>(AVPU)</w:t>
            </w:r>
          </w:p>
          <w:p>
            <w:pPr>
              <w:pStyle w:val="TableParagraph"/>
              <w:numPr>
                <w:ilvl w:val="0"/>
                <w:numId w:val="5"/>
              </w:numPr>
              <w:tabs>
                <w:tab w:pos="1713" w:val="left" w:leader="none"/>
              </w:tabs>
              <w:spacing w:line="240" w:lineRule="auto" w:before="55" w:after="0"/>
              <w:ind w:left="1713" w:right="0" w:hanging="359"/>
              <w:jc w:val="left"/>
              <w:rPr>
                <w:sz w:val="24"/>
              </w:rPr>
            </w:pPr>
            <w:r>
              <w:rPr>
                <w:sz w:val="24"/>
              </w:rPr>
              <w:t>temperature</w:t>
            </w:r>
            <w:r>
              <w:rPr>
                <w:spacing w:val="-4"/>
                <w:sz w:val="24"/>
              </w:rPr>
              <w:t> </w:t>
            </w:r>
            <w:r>
              <w:rPr>
                <w:sz w:val="24"/>
              </w:rPr>
              <w:t>(graph</w:t>
            </w:r>
            <w:r>
              <w:rPr>
                <w:spacing w:val="-6"/>
                <w:sz w:val="24"/>
              </w:rPr>
              <w:t> </w:t>
            </w:r>
            <w:r>
              <w:rPr>
                <w:spacing w:val="-2"/>
                <w:sz w:val="24"/>
              </w:rPr>
              <w:t>form)</w:t>
            </w:r>
          </w:p>
          <w:p>
            <w:pPr>
              <w:pStyle w:val="TableParagraph"/>
              <w:numPr>
                <w:ilvl w:val="0"/>
                <w:numId w:val="5"/>
              </w:numPr>
              <w:tabs>
                <w:tab w:pos="1713" w:val="left" w:leader="none"/>
              </w:tabs>
              <w:spacing w:line="240" w:lineRule="auto" w:before="61" w:after="0"/>
              <w:ind w:left="1713" w:right="0" w:hanging="359"/>
              <w:jc w:val="left"/>
              <w:rPr>
                <w:sz w:val="24"/>
              </w:rPr>
            </w:pPr>
            <w:r>
              <w:rPr>
                <w:sz w:val="24"/>
              </w:rPr>
              <w:t>oxygen</w:t>
            </w:r>
            <w:r>
              <w:rPr>
                <w:spacing w:val="-5"/>
                <w:sz w:val="24"/>
              </w:rPr>
              <w:t> </w:t>
            </w:r>
            <w:r>
              <w:rPr>
                <w:spacing w:val="-2"/>
                <w:sz w:val="24"/>
              </w:rPr>
              <w:t>saturation</w:t>
            </w:r>
          </w:p>
          <w:p>
            <w:pPr>
              <w:pStyle w:val="TableParagraph"/>
              <w:numPr>
                <w:ilvl w:val="0"/>
                <w:numId w:val="5"/>
              </w:numPr>
              <w:tabs>
                <w:tab w:pos="1713" w:val="left" w:leader="none"/>
              </w:tabs>
              <w:spacing w:line="240" w:lineRule="auto" w:before="60" w:after="0"/>
              <w:ind w:left="1713" w:right="0" w:hanging="359"/>
              <w:jc w:val="left"/>
              <w:rPr>
                <w:sz w:val="24"/>
              </w:rPr>
            </w:pPr>
            <w:r>
              <w:rPr>
                <w:sz w:val="24"/>
              </w:rPr>
              <w:t>mode</w:t>
            </w:r>
            <w:r>
              <w:rPr>
                <w:spacing w:val="-4"/>
                <w:sz w:val="24"/>
              </w:rPr>
              <w:t> </w:t>
            </w:r>
            <w:r>
              <w:rPr>
                <w:sz w:val="24"/>
              </w:rPr>
              <w:t>of</w:t>
            </w:r>
            <w:r>
              <w:rPr>
                <w:spacing w:val="-3"/>
                <w:sz w:val="24"/>
              </w:rPr>
              <w:t> </w:t>
            </w:r>
            <w:r>
              <w:rPr>
                <w:sz w:val="24"/>
              </w:rPr>
              <w:t>oxygen</w:t>
            </w:r>
            <w:r>
              <w:rPr>
                <w:spacing w:val="-3"/>
                <w:sz w:val="24"/>
              </w:rPr>
              <w:t> </w:t>
            </w:r>
            <w:r>
              <w:rPr>
                <w:spacing w:val="-2"/>
                <w:sz w:val="24"/>
              </w:rPr>
              <w:t>delivery</w:t>
            </w:r>
          </w:p>
          <w:p>
            <w:pPr>
              <w:pStyle w:val="TableParagraph"/>
              <w:numPr>
                <w:ilvl w:val="0"/>
                <w:numId w:val="5"/>
              </w:numPr>
              <w:tabs>
                <w:tab w:pos="1713" w:val="left" w:leader="none"/>
              </w:tabs>
              <w:spacing w:line="288" w:lineRule="auto" w:before="59" w:after="0"/>
              <w:ind w:left="634" w:right="2191" w:firstLine="720"/>
              <w:jc w:val="left"/>
              <w:rPr>
                <w:sz w:val="24"/>
              </w:rPr>
            </w:pPr>
            <w:r>
              <w:rPr>
                <w:sz w:val="24"/>
              </w:rPr>
              <w:t>an</w:t>
            </w:r>
            <w:r>
              <w:rPr>
                <w:spacing w:val="-5"/>
                <w:sz w:val="24"/>
              </w:rPr>
              <w:t> </w:t>
            </w:r>
            <w:r>
              <w:rPr>
                <w:rFonts w:ascii="Arial" w:hAnsi="Arial"/>
                <w:b/>
                <w:sz w:val="24"/>
              </w:rPr>
              <w:t>accurate</w:t>
            </w:r>
            <w:r>
              <w:rPr>
                <w:rFonts w:ascii="Arial" w:hAnsi="Arial"/>
                <w:b/>
                <w:spacing w:val="-5"/>
                <w:sz w:val="24"/>
              </w:rPr>
              <w:t> </w:t>
            </w:r>
            <w:r>
              <w:rPr>
                <w:sz w:val="24"/>
              </w:rPr>
              <w:t>Modified</w:t>
            </w:r>
            <w:r>
              <w:rPr>
                <w:spacing w:val="-8"/>
                <w:sz w:val="24"/>
              </w:rPr>
              <w:t> </w:t>
            </w:r>
            <w:r>
              <w:rPr>
                <w:sz w:val="24"/>
              </w:rPr>
              <w:t>Early</w:t>
            </w:r>
            <w:r>
              <w:rPr>
                <w:spacing w:val="-13"/>
                <w:sz w:val="24"/>
              </w:rPr>
              <w:t> </w:t>
            </w:r>
            <w:r>
              <w:rPr>
                <w:sz w:val="24"/>
              </w:rPr>
              <w:t>Warning</w:t>
            </w:r>
            <w:r>
              <w:rPr>
                <w:spacing w:val="-8"/>
                <w:sz w:val="24"/>
              </w:rPr>
              <w:t> </w:t>
            </w:r>
            <w:r>
              <w:rPr>
                <w:sz w:val="24"/>
              </w:rPr>
              <w:t>Score </w:t>
            </w:r>
            <w:r>
              <w:rPr>
                <w:spacing w:val="-1"/>
                <w:position w:val="-5"/>
                <w:sz w:val="24"/>
              </w:rPr>
              <w:drawing>
                <wp:inline distT="0" distB="0" distL="0" distR="0">
                  <wp:extent cx="140207" cy="187451"/>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9" cstate="print"/>
                          <a:stretch>
                            <a:fillRect/>
                          </a:stretch>
                        </pic:blipFill>
                        <pic:spPr>
                          <a:xfrm>
                            <a:off x="0" y="0"/>
                            <a:ext cx="140207" cy="187451"/>
                          </a:xfrm>
                          <a:prstGeom prst="rect">
                            <a:avLst/>
                          </a:prstGeom>
                        </pic:spPr>
                      </pic:pic>
                    </a:graphicData>
                  </a:graphic>
                </wp:inline>
              </w:drawing>
            </w:r>
            <w:r>
              <w:rPr>
                <w:spacing w:val="-1"/>
                <w:position w:val="-5"/>
                <w:sz w:val="24"/>
              </w:rPr>
            </w:r>
            <w:r>
              <w:rPr>
                <w:rFonts w:ascii="Times New Roman" w:hAnsi="Times New Roman"/>
                <w:spacing w:val="80"/>
                <w:sz w:val="24"/>
              </w:rPr>
              <w:t> </w:t>
            </w:r>
            <w:r>
              <w:rPr>
                <w:sz w:val="24"/>
              </w:rPr>
              <w:t>Each set of observations to be initialled</w:t>
            </w:r>
          </w:p>
          <w:p>
            <w:pPr>
              <w:pStyle w:val="TableParagraph"/>
              <w:spacing w:before="20"/>
              <w:ind w:left="994" w:hanging="360"/>
              <w:rPr>
                <w:sz w:val="24"/>
              </w:rPr>
            </w:pPr>
            <w:r>
              <w:rPr>
                <w:position w:val="-5"/>
              </w:rPr>
              <w:drawing>
                <wp:inline distT="0" distB="0" distL="0" distR="0">
                  <wp:extent cx="140207" cy="187451"/>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A</w:t>
            </w:r>
            <w:r>
              <w:rPr>
                <w:spacing w:val="30"/>
                <w:sz w:val="24"/>
              </w:rPr>
              <w:t> </w:t>
            </w:r>
            <w:r>
              <w:rPr>
                <w:sz w:val="24"/>
              </w:rPr>
              <w:t>fluid</w:t>
            </w:r>
            <w:r>
              <w:rPr>
                <w:spacing w:val="33"/>
                <w:sz w:val="24"/>
              </w:rPr>
              <w:t> </w:t>
            </w:r>
            <w:r>
              <w:rPr>
                <w:sz w:val="24"/>
              </w:rPr>
              <w:t>balance</w:t>
            </w:r>
            <w:r>
              <w:rPr>
                <w:spacing w:val="30"/>
                <w:sz w:val="24"/>
              </w:rPr>
              <w:t> </w:t>
            </w:r>
            <w:r>
              <w:rPr>
                <w:sz w:val="24"/>
              </w:rPr>
              <w:t>form</w:t>
            </w:r>
            <w:r>
              <w:rPr>
                <w:spacing w:val="34"/>
                <w:sz w:val="24"/>
              </w:rPr>
              <w:t> </w:t>
            </w:r>
            <w:r>
              <w:rPr>
                <w:sz w:val="24"/>
              </w:rPr>
              <w:t>to</w:t>
            </w:r>
            <w:r>
              <w:rPr>
                <w:spacing w:val="33"/>
                <w:sz w:val="24"/>
              </w:rPr>
              <w:t> </w:t>
            </w:r>
            <w:r>
              <w:rPr>
                <w:sz w:val="24"/>
              </w:rPr>
              <w:t>be</w:t>
            </w:r>
            <w:r>
              <w:rPr>
                <w:spacing w:val="33"/>
                <w:sz w:val="24"/>
              </w:rPr>
              <w:t> </w:t>
            </w:r>
            <w:r>
              <w:rPr>
                <w:sz w:val="24"/>
              </w:rPr>
              <w:t>commenced</w:t>
            </w:r>
            <w:r>
              <w:rPr>
                <w:spacing w:val="33"/>
                <w:sz w:val="24"/>
              </w:rPr>
              <w:t> </w:t>
            </w:r>
            <w:r>
              <w:rPr>
                <w:sz w:val="24"/>
              </w:rPr>
              <w:t>if</w:t>
            </w:r>
            <w:r>
              <w:rPr>
                <w:spacing w:val="35"/>
                <w:sz w:val="24"/>
              </w:rPr>
              <w:t> </w:t>
            </w:r>
            <w:r>
              <w:rPr>
                <w:sz w:val="24"/>
              </w:rPr>
              <w:t>scoring</w:t>
            </w:r>
            <w:r>
              <w:rPr>
                <w:spacing w:val="31"/>
                <w:sz w:val="24"/>
              </w:rPr>
              <w:t> </w:t>
            </w:r>
            <w:r>
              <w:rPr>
                <w:sz w:val="24"/>
              </w:rPr>
              <w:t>3</w:t>
            </w:r>
            <w:r>
              <w:rPr>
                <w:spacing w:val="33"/>
                <w:sz w:val="24"/>
              </w:rPr>
              <w:t> </w:t>
            </w:r>
            <w:r>
              <w:rPr>
                <w:sz w:val="24"/>
              </w:rPr>
              <w:t>or</w:t>
            </w:r>
            <w:r>
              <w:rPr>
                <w:spacing w:val="31"/>
                <w:sz w:val="24"/>
              </w:rPr>
              <w:t> </w:t>
            </w:r>
            <w:r>
              <w:rPr>
                <w:sz w:val="24"/>
              </w:rPr>
              <w:t>more</w:t>
            </w:r>
            <w:r>
              <w:rPr>
                <w:spacing w:val="30"/>
                <w:sz w:val="24"/>
              </w:rPr>
              <w:t> </w:t>
            </w:r>
            <w:r>
              <w:rPr>
                <w:sz w:val="24"/>
              </w:rPr>
              <w:t>on</w:t>
            </w:r>
            <w:r>
              <w:rPr>
                <w:spacing w:val="30"/>
                <w:sz w:val="24"/>
              </w:rPr>
              <w:t> </w:t>
            </w:r>
            <w:r>
              <w:rPr>
                <w:sz w:val="24"/>
              </w:rPr>
              <w:t>the </w:t>
            </w:r>
            <w:r>
              <w:rPr>
                <w:spacing w:val="-4"/>
                <w:sz w:val="24"/>
              </w:rPr>
              <w:t>MEWS</w:t>
            </w:r>
          </w:p>
        </w:tc>
      </w:tr>
      <w:tr>
        <w:trPr>
          <w:trHeight w:val="1344" w:hRule="atLeast"/>
        </w:trPr>
        <w:tc>
          <w:tcPr>
            <w:tcW w:w="659" w:type="dxa"/>
          </w:tcPr>
          <w:p>
            <w:pPr>
              <w:pStyle w:val="TableParagraph"/>
              <w:spacing w:before="254"/>
              <w:rPr>
                <w:rFonts w:ascii="Arial"/>
                <w:b/>
                <w:sz w:val="24"/>
              </w:rPr>
            </w:pPr>
          </w:p>
          <w:p>
            <w:pPr>
              <w:pStyle w:val="TableParagraph"/>
              <w:ind w:left="50"/>
              <w:rPr>
                <w:rFonts w:ascii="Arial"/>
                <w:b/>
                <w:sz w:val="24"/>
              </w:rPr>
            </w:pPr>
            <w:r>
              <w:rPr>
                <w:rFonts w:ascii="Arial"/>
                <w:b/>
                <w:spacing w:val="-5"/>
                <w:sz w:val="24"/>
              </w:rPr>
              <w:t>6.0</w:t>
            </w:r>
          </w:p>
        </w:tc>
        <w:tc>
          <w:tcPr>
            <w:tcW w:w="8470" w:type="dxa"/>
          </w:tcPr>
          <w:p>
            <w:pPr>
              <w:pStyle w:val="TableParagraph"/>
              <w:spacing w:before="254"/>
              <w:ind w:left="274" w:right="50"/>
              <w:jc w:val="both"/>
              <w:rPr>
                <w:sz w:val="24"/>
              </w:rPr>
            </w:pPr>
            <w:r>
              <w:rPr>
                <w:rFonts w:ascii="Arial"/>
                <w:b/>
                <w:sz w:val="24"/>
              </w:rPr>
              <w:t>Dissemination, Implementation and Access to this Document </w:t>
            </w:r>
            <w:r>
              <w:rPr>
                <w:sz w:val="24"/>
              </w:rPr>
              <w:t>will be in accordance with the rules set out in the Trusts Policy on Policies (see appendix G)</w:t>
            </w:r>
          </w:p>
        </w:tc>
      </w:tr>
      <w:tr>
        <w:trPr>
          <w:trHeight w:val="904" w:hRule="atLeast"/>
        </w:trPr>
        <w:tc>
          <w:tcPr>
            <w:tcW w:w="659" w:type="dxa"/>
          </w:tcPr>
          <w:p>
            <w:pPr>
              <w:pStyle w:val="TableParagraph"/>
              <w:spacing w:before="124"/>
              <w:rPr>
                <w:rFonts w:ascii="Arial"/>
                <w:b/>
                <w:sz w:val="24"/>
              </w:rPr>
            </w:pPr>
          </w:p>
          <w:p>
            <w:pPr>
              <w:pStyle w:val="TableParagraph"/>
              <w:ind w:left="50"/>
              <w:rPr>
                <w:rFonts w:ascii="Arial"/>
                <w:b/>
                <w:sz w:val="24"/>
              </w:rPr>
            </w:pPr>
            <w:r>
              <w:rPr>
                <w:rFonts w:ascii="Arial"/>
                <w:b/>
                <w:spacing w:val="-5"/>
                <w:sz w:val="24"/>
              </w:rPr>
              <w:t>6.1</w:t>
            </w:r>
          </w:p>
        </w:tc>
        <w:tc>
          <w:tcPr>
            <w:tcW w:w="8470" w:type="dxa"/>
          </w:tcPr>
          <w:p>
            <w:pPr>
              <w:pStyle w:val="TableParagraph"/>
              <w:spacing w:before="254"/>
              <w:ind w:left="274"/>
              <w:rPr>
                <w:sz w:val="24"/>
              </w:rPr>
            </w:pPr>
            <w:r>
              <w:rPr>
                <w:spacing w:val="-2"/>
                <w:sz w:val="24"/>
                <w:u w:val="single"/>
              </w:rPr>
              <w:t>Dissemination</w:t>
            </w:r>
          </w:p>
          <w:p>
            <w:pPr>
              <w:pStyle w:val="TableParagraph"/>
              <w:spacing w:line="275" w:lineRule="exact" w:before="79"/>
              <w:ind w:left="634"/>
              <w:rPr>
                <w:sz w:val="24"/>
              </w:rPr>
            </w:pPr>
            <w:r>
              <w:rPr>
                <w:position w:val="-5"/>
              </w:rPr>
              <w:drawing>
                <wp:inline distT="0" distB="0" distL="0" distR="0">
                  <wp:extent cx="140207" cy="187452"/>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66"/>
                <w:w w:val="150"/>
                <w:sz w:val="20"/>
              </w:rPr>
              <w:t> </w:t>
            </w:r>
            <w:r>
              <w:rPr>
                <w:sz w:val="24"/>
              </w:rPr>
              <w:t>All</w:t>
            </w:r>
            <w:r>
              <w:rPr>
                <w:spacing w:val="65"/>
                <w:sz w:val="24"/>
              </w:rPr>
              <w:t> </w:t>
            </w:r>
            <w:r>
              <w:rPr>
                <w:sz w:val="24"/>
              </w:rPr>
              <w:t>Senior</w:t>
            </w:r>
            <w:r>
              <w:rPr>
                <w:spacing w:val="66"/>
                <w:sz w:val="24"/>
              </w:rPr>
              <w:t> </w:t>
            </w:r>
            <w:r>
              <w:rPr>
                <w:sz w:val="24"/>
              </w:rPr>
              <w:t>staff</w:t>
            </w:r>
            <w:r>
              <w:rPr>
                <w:spacing w:val="69"/>
                <w:sz w:val="24"/>
              </w:rPr>
              <w:t> </w:t>
            </w:r>
            <w:r>
              <w:rPr>
                <w:sz w:val="24"/>
              </w:rPr>
              <w:t>listed</w:t>
            </w:r>
            <w:r>
              <w:rPr>
                <w:spacing w:val="64"/>
                <w:sz w:val="24"/>
              </w:rPr>
              <w:t> </w:t>
            </w:r>
            <w:r>
              <w:rPr>
                <w:sz w:val="24"/>
              </w:rPr>
              <w:t>in</w:t>
            </w:r>
            <w:r>
              <w:rPr>
                <w:spacing w:val="66"/>
                <w:sz w:val="24"/>
              </w:rPr>
              <w:t> </w:t>
            </w:r>
            <w:r>
              <w:rPr>
                <w:sz w:val="24"/>
              </w:rPr>
              <w:t>section</w:t>
            </w:r>
            <w:r>
              <w:rPr>
                <w:spacing w:val="67"/>
                <w:sz w:val="24"/>
              </w:rPr>
              <w:t> </w:t>
            </w:r>
            <w:r>
              <w:rPr>
                <w:sz w:val="24"/>
              </w:rPr>
              <w:t>3.1</w:t>
            </w:r>
            <w:r>
              <w:rPr>
                <w:spacing w:val="67"/>
                <w:sz w:val="24"/>
              </w:rPr>
              <w:t> </w:t>
            </w:r>
            <w:r>
              <w:rPr>
                <w:sz w:val="24"/>
              </w:rPr>
              <w:t>(i.e.</w:t>
            </w:r>
            <w:r>
              <w:rPr>
                <w:spacing w:val="66"/>
                <w:sz w:val="24"/>
              </w:rPr>
              <w:t> </w:t>
            </w:r>
            <w:r>
              <w:rPr>
                <w:sz w:val="24"/>
              </w:rPr>
              <w:t>Chief</w:t>
            </w:r>
            <w:r>
              <w:rPr>
                <w:spacing w:val="69"/>
                <w:sz w:val="24"/>
              </w:rPr>
              <w:t> </w:t>
            </w:r>
            <w:r>
              <w:rPr>
                <w:sz w:val="24"/>
              </w:rPr>
              <w:t>Executive,</w:t>
            </w:r>
            <w:r>
              <w:rPr>
                <w:spacing w:val="66"/>
                <w:sz w:val="24"/>
              </w:rPr>
              <w:t> </w:t>
            </w:r>
            <w:r>
              <w:rPr>
                <w:sz w:val="24"/>
              </w:rPr>
              <w:t>Clinical</w:t>
            </w:r>
          </w:p>
        </w:tc>
      </w:tr>
    </w:tbl>
    <w:p>
      <w:pPr>
        <w:pStyle w:val="TableParagraph"/>
        <w:spacing w:after="0" w:line="275" w:lineRule="exact"/>
        <w:rPr>
          <w:sz w:val="24"/>
        </w:rPr>
        <w:sectPr>
          <w:type w:val="continuous"/>
          <w:pgSz w:w="11910" w:h="16840"/>
          <w:pgMar w:header="0" w:footer="955" w:top="1120" w:bottom="1140" w:left="425" w:right="566"/>
        </w:sectPr>
      </w:pPr>
    </w:p>
    <w:p>
      <w:pPr>
        <w:pStyle w:val="BodyText"/>
        <w:spacing w:before="2"/>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9"/>
        <w:gridCol w:w="8470"/>
      </w:tblGrid>
      <w:tr>
        <w:trPr>
          <w:trHeight w:val="6461" w:hRule="atLeast"/>
        </w:trPr>
        <w:tc>
          <w:tcPr>
            <w:tcW w:w="659" w:type="dxa"/>
          </w:tcPr>
          <w:p>
            <w:pPr>
              <w:pStyle w:val="TableParagraph"/>
              <w:rPr>
                <w:rFonts w:ascii="Times New Roman"/>
                <w:sz w:val="22"/>
              </w:rPr>
            </w:pPr>
          </w:p>
        </w:tc>
        <w:tc>
          <w:tcPr>
            <w:tcW w:w="8470" w:type="dxa"/>
          </w:tcPr>
          <w:p>
            <w:pPr>
              <w:pStyle w:val="TableParagraph"/>
              <w:ind w:left="994" w:right="56"/>
              <w:jc w:val="both"/>
              <w:rPr>
                <w:sz w:val="24"/>
              </w:rPr>
            </w:pPr>
            <w:r>
              <w:rPr>
                <w:sz w:val="24"/>
              </w:rPr>
              <w:t>Directors, Heads of Nursing and Matrons etc)</w:t>
            </w:r>
            <w:r>
              <w:rPr>
                <w:spacing w:val="40"/>
                <w:sz w:val="24"/>
              </w:rPr>
              <w:t> </w:t>
            </w:r>
            <w:r>
              <w:rPr>
                <w:sz w:val="24"/>
              </w:rPr>
              <w:t>will receive an electronic copy of this policy for dissemination at all appropriate Trust and Divisional meetings to ensure that all relevant staff are made aware of the key principles of this policy.</w:t>
            </w:r>
          </w:p>
          <w:p>
            <w:pPr>
              <w:pStyle w:val="TableParagraph"/>
              <w:spacing w:before="73"/>
              <w:ind w:left="994" w:right="53" w:hanging="360"/>
              <w:jc w:val="both"/>
              <w:rPr>
                <w:sz w:val="24"/>
              </w:rPr>
            </w:pPr>
            <w:r>
              <w:rPr>
                <w:position w:val="-5"/>
              </w:rPr>
              <w:drawing>
                <wp:inline distT="0" distB="0" distL="0" distR="0">
                  <wp:extent cx="140207" cy="187451"/>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The Outreach Lead will organise awareness sessions for all practice educators within the trust who will then disseminate this to clinical staff on their designated wards. The Outreach Team will provide training for any wards without a practice educator.</w:t>
            </w:r>
          </w:p>
          <w:p>
            <w:pPr>
              <w:pStyle w:val="TableParagraph"/>
              <w:spacing w:before="77"/>
              <w:ind w:left="994" w:right="52" w:hanging="360"/>
              <w:jc w:val="both"/>
              <w:rPr>
                <w:sz w:val="24"/>
              </w:rPr>
            </w:pPr>
            <w:r>
              <w:rPr>
                <w:position w:val="-5"/>
              </w:rPr>
              <w:drawing>
                <wp:inline distT="0" distB="0" distL="0" distR="0">
                  <wp:extent cx="140207" cy="187451"/>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z w:val="20"/>
              </w:rPr>
              <w:t> </w:t>
            </w:r>
            <w:r>
              <w:rPr>
                <w:sz w:val="24"/>
              </w:rPr>
              <w:t>All Ward managers must allocate time for staff to attend these awareness sessions</w:t>
            </w:r>
          </w:p>
          <w:p>
            <w:pPr>
              <w:pStyle w:val="TableParagraph"/>
              <w:spacing w:before="77"/>
              <w:ind w:left="994" w:right="51" w:hanging="360"/>
              <w:jc w:val="both"/>
              <w:rPr>
                <w:sz w:val="24"/>
              </w:rPr>
            </w:pPr>
            <w:r>
              <w:rPr>
                <w:position w:val="-5"/>
              </w:rPr>
              <w:drawing>
                <wp:inline distT="0" distB="0" distL="0" distR="0">
                  <wp:extent cx="140207" cy="187451"/>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40"/>
                <w:sz w:val="20"/>
              </w:rPr>
              <w:t> </w:t>
            </w:r>
            <w:r>
              <w:rPr>
                <w:sz w:val="24"/>
              </w:rPr>
              <w:t>It is the responsibility of individual clinical staff to ensure they attend the awareness sessions, and a record of attendance will be recorded by</w:t>
            </w:r>
            <w:r>
              <w:rPr>
                <w:spacing w:val="-6"/>
                <w:sz w:val="24"/>
              </w:rPr>
              <w:t> </w:t>
            </w:r>
            <w:r>
              <w:rPr>
                <w:sz w:val="24"/>
              </w:rPr>
              <w:t>the</w:t>
            </w:r>
            <w:r>
              <w:rPr>
                <w:spacing w:val="-3"/>
                <w:sz w:val="24"/>
              </w:rPr>
              <w:t> </w:t>
            </w:r>
            <w:r>
              <w:rPr>
                <w:sz w:val="24"/>
              </w:rPr>
              <w:t>practice</w:t>
            </w:r>
            <w:r>
              <w:rPr>
                <w:spacing w:val="-5"/>
                <w:sz w:val="24"/>
              </w:rPr>
              <w:t> </w:t>
            </w:r>
            <w:r>
              <w:rPr>
                <w:sz w:val="24"/>
              </w:rPr>
              <w:t>educators/Outreach</w:t>
            </w:r>
            <w:r>
              <w:rPr>
                <w:spacing w:val="-3"/>
                <w:sz w:val="24"/>
              </w:rPr>
              <w:t> </w:t>
            </w:r>
            <w:r>
              <w:rPr>
                <w:sz w:val="24"/>
              </w:rPr>
              <w:t>Lead</w:t>
            </w:r>
            <w:r>
              <w:rPr>
                <w:spacing w:val="-5"/>
                <w:sz w:val="24"/>
              </w:rPr>
              <w:t> </w:t>
            </w:r>
            <w:r>
              <w:rPr>
                <w:sz w:val="24"/>
              </w:rPr>
              <w:t>and</w:t>
            </w:r>
            <w:r>
              <w:rPr>
                <w:spacing w:val="-5"/>
                <w:sz w:val="24"/>
              </w:rPr>
              <w:t> </w:t>
            </w:r>
            <w:r>
              <w:rPr>
                <w:sz w:val="24"/>
              </w:rPr>
              <w:t>logged</w:t>
            </w:r>
            <w:r>
              <w:rPr>
                <w:spacing w:val="-3"/>
                <w:sz w:val="24"/>
              </w:rPr>
              <w:t> </w:t>
            </w:r>
            <w:r>
              <w:rPr>
                <w:sz w:val="24"/>
              </w:rPr>
              <w:t>with</w:t>
            </w:r>
            <w:r>
              <w:rPr>
                <w:spacing w:val="-3"/>
                <w:sz w:val="24"/>
              </w:rPr>
              <w:t> </w:t>
            </w:r>
            <w:r>
              <w:rPr>
                <w:sz w:val="24"/>
              </w:rPr>
              <w:t>the</w:t>
            </w:r>
            <w:r>
              <w:rPr>
                <w:spacing w:val="-5"/>
                <w:sz w:val="24"/>
              </w:rPr>
              <w:t> </w:t>
            </w:r>
            <w:r>
              <w:rPr>
                <w:sz w:val="24"/>
              </w:rPr>
              <w:t>Training </w:t>
            </w:r>
            <w:r>
              <w:rPr>
                <w:spacing w:val="-2"/>
                <w:sz w:val="24"/>
              </w:rPr>
              <w:t>Department.</w:t>
            </w:r>
          </w:p>
          <w:p>
            <w:pPr>
              <w:pStyle w:val="TableParagraph"/>
              <w:spacing w:before="78"/>
              <w:ind w:left="994" w:right="57" w:hanging="360"/>
              <w:jc w:val="both"/>
              <w:rPr>
                <w:sz w:val="24"/>
              </w:rPr>
            </w:pPr>
            <w:r>
              <w:rPr>
                <w:position w:val="-5"/>
              </w:rPr>
              <w:drawing>
                <wp:inline distT="0" distB="0" distL="0" distR="0">
                  <wp:extent cx="140207" cy="187451"/>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Awareness sessions will be held in various locations around the trust to all clinical staff involved in taking, recording and analysing Adult physiological</w:t>
            </w:r>
            <w:r>
              <w:rPr>
                <w:spacing w:val="-2"/>
                <w:sz w:val="24"/>
              </w:rPr>
              <w:t> </w:t>
            </w:r>
            <w:r>
              <w:rPr>
                <w:sz w:val="24"/>
              </w:rPr>
              <w:t>observations</w:t>
            </w:r>
            <w:r>
              <w:rPr>
                <w:spacing w:val="-2"/>
                <w:sz w:val="24"/>
              </w:rPr>
              <w:t> </w:t>
            </w:r>
            <w:r>
              <w:rPr>
                <w:sz w:val="24"/>
              </w:rPr>
              <w:t>including</w:t>
            </w:r>
            <w:r>
              <w:rPr>
                <w:spacing w:val="-3"/>
                <w:sz w:val="24"/>
              </w:rPr>
              <w:t> </w:t>
            </w:r>
            <w:r>
              <w:rPr>
                <w:sz w:val="24"/>
              </w:rPr>
              <w:t>ward</w:t>
            </w:r>
            <w:r>
              <w:rPr>
                <w:spacing w:val="-2"/>
                <w:sz w:val="24"/>
              </w:rPr>
              <w:t> </w:t>
            </w:r>
            <w:r>
              <w:rPr>
                <w:sz w:val="24"/>
              </w:rPr>
              <w:t>sessions,</w:t>
            </w:r>
            <w:r>
              <w:rPr>
                <w:spacing w:val="-2"/>
                <w:sz w:val="24"/>
              </w:rPr>
              <w:t> </w:t>
            </w:r>
            <w:r>
              <w:rPr>
                <w:sz w:val="24"/>
              </w:rPr>
              <w:t>road</w:t>
            </w:r>
            <w:r>
              <w:rPr>
                <w:spacing w:val="-2"/>
                <w:sz w:val="24"/>
              </w:rPr>
              <w:t> </w:t>
            </w:r>
            <w:r>
              <w:rPr>
                <w:sz w:val="24"/>
              </w:rPr>
              <w:t>shows,</w:t>
            </w:r>
            <w:r>
              <w:rPr>
                <w:spacing w:val="-2"/>
                <w:sz w:val="24"/>
              </w:rPr>
              <w:t> </w:t>
            </w:r>
            <w:r>
              <w:rPr>
                <w:sz w:val="24"/>
              </w:rPr>
              <w:t>Staff Pledges, poster displays etc.</w:t>
            </w:r>
          </w:p>
          <w:p>
            <w:pPr>
              <w:pStyle w:val="TableParagraph"/>
              <w:spacing w:before="79"/>
              <w:ind w:left="634"/>
              <w:jc w:val="both"/>
              <w:rPr>
                <w:sz w:val="24"/>
              </w:rPr>
            </w:pPr>
            <w:r>
              <w:rPr>
                <w:position w:val="-5"/>
              </w:rPr>
              <w:drawing>
                <wp:inline distT="0" distB="0" distL="0" distR="0">
                  <wp:extent cx="140207" cy="187451"/>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Global email will be sent Trust wide</w:t>
            </w:r>
          </w:p>
          <w:p>
            <w:pPr>
              <w:pStyle w:val="TableParagraph"/>
              <w:spacing w:before="77"/>
              <w:ind w:left="634"/>
              <w:jc w:val="both"/>
              <w:rPr>
                <w:sz w:val="24"/>
              </w:rPr>
            </w:pPr>
            <w:r>
              <w:rPr>
                <w:position w:val="-5"/>
              </w:rPr>
              <w:drawing>
                <wp:inline distT="0" distB="0" distL="0" distR="0">
                  <wp:extent cx="140207" cy="187452"/>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80"/>
                <w:sz w:val="20"/>
              </w:rPr>
              <w:t> </w:t>
            </w:r>
            <w:r>
              <w:rPr>
                <w:sz w:val="24"/>
              </w:rPr>
              <w:t>Presented by Outreach Team at all Trust Inductions</w:t>
            </w:r>
          </w:p>
        </w:tc>
      </w:tr>
      <w:tr>
        <w:trPr>
          <w:trHeight w:val="3299" w:hRule="atLeast"/>
        </w:trPr>
        <w:tc>
          <w:tcPr>
            <w:tcW w:w="659" w:type="dxa"/>
          </w:tcPr>
          <w:p>
            <w:pPr>
              <w:pStyle w:val="TableParagraph"/>
              <w:spacing w:before="158"/>
              <w:rPr>
                <w:rFonts w:ascii="Arial"/>
                <w:b/>
                <w:sz w:val="24"/>
              </w:rPr>
            </w:pPr>
          </w:p>
          <w:p>
            <w:pPr>
              <w:pStyle w:val="TableParagraph"/>
              <w:ind w:left="50"/>
              <w:rPr>
                <w:rFonts w:ascii="Arial"/>
                <w:b/>
                <w:sz w:val="24"/>
              </w:rPr>
            </w:pPr>
            <w:r>
              <w:rPr>
                <w:rFonts w:ascii="Arial"/>
                <w:b/>
                <w:spacing w:val="-5"/>
                <w:sz w:val="24"/>
              </w:rPr>
              <w:t>6.2</w:t>
            </w:r>
          </w:p>
          <w:p>
            <w:pPr>
              <w:pStyle w:val="TableParagraph"/>
              <w:rPr>
                <w:rFonts w:ascii="Arial"/>
                <w:b/>
                <w:sz w:val="24"/>
              </w:rPr>
            </w:pPr>
          </w:p>
          <w:p>
            <w:pPr>
              <w:pStyle w:val="TableParagraph"/>
              <w:spacing w:before="240"/>
              <w:rPr>
                <w:rFonts w:ascii="Arial"/>
                <w:b/>
                <w:sz w:val="24"/>
              </w:rPr>
            </w:pPr>
          </w:p>
          <w:p>
            <w:pPr>
              <w:pStyle w:val="TableParagraph"/>
              <w:spacing w:before="1"/>
              <w:ind w:left="50"/>
              <w:rPr>
                <w:rFonts w:ascii="Arial"/>
                <w:b/>
                <w:sz w:val="24"/>
              </w:rPr>
            </w:pPr>
            <w:r>
              <w:rPr>
                <w:rFonts w:ascii="Arial"/>
                <w:b/>
                <w:spacing w:val="-5"/>
                <w:sz w:val="24"/>
              </w:rPr>
              <w:t>6.3</w:t>
            </w:r>
          </w:p>
        </w:tc>
        <w:tc>
          <w:tcPr>
            <w:tcW w:w="8470" w:type="dxa"/>
          </w:tcPr>
          <w:p>
            <w:pPr>
              <w:pStyle w:val="TableParagraph"/>
              <w:spacing w:before="81"/>
              <w:rPr>
                <w:rFonts w:ascii="Arial"/>
                <w:b/>
                <w:sz w:val="24"/>
              </w:rPr>
            </w:pPr>
          </w:p>
          <w:p>
            <w:pPr>
              <w:pStyle w:val="TableParagraph"/>
              <w:ind w:left="274"/>
              <w:rPr>
                <w:sz w:val="24"/>
              </w:rPr>
            </w:pPr>
            <w:r>
              <w:rPr>
                <w:spacing w:val="-2"/>
                <w:sz w:val="24"/>
                <w:u w:val="single"/>
              </w:rPr>
              <w:t>Implementation</w:t>
            </w:r>
          </w:p>
          <w:p>
            <w:pPr>
              <w:pStyle w:val="TableParagraph"/>
              <w:spacing w:line="309" w:lineRule="auto" w:before="82"/>
              <w:ind w:left="274" w:right="769" w:firstLine="360"/>
              <w:rPr>
                <w:sz w:val="24"/>
              </w:rPr>
            </w:pPr>
            <w:r>
              <w:rPr>
                <w:sz w:val="24"/>
              </w:rPr>
              <w:t>The</w:t>
            </w:r>
            <w:r>
              <w:rPr>
                <w:spacing w:val="-4"/>
                <w:sz w:val="24"/>
              </w:rPr>
              <w:t> </w:t>
            </w:r>
            <w:r>
              <w:rPr>
                <w:sz w:val="24"/>
              </w:rPr>
              <w:t>policy</w:t>
            </w:r>
            <w:r>
              <w:rPr>
                <w:spacing w:val="-3"/>
                <w:sz w:val="24"/>
              </w:rPr>
              <w:t> </w:t>
            </w:r>
            <w:r>
              <w:rPr>
                <w:sz w:val="24"/>
              </w:rPr>
              <w:t>was</w:t>
            </w:r>
            <w:r>
              <w:rPr>
                <w:spacing w:val="-4"/>
                <w:sz w:val="24"/>
              </w:rPr>
              <w:t> </w:t>
            </w:r>
            <w:r>
              <w:rPr>
                <w:sz w:val="24"/>
              </w:rPr>
              <w:t>originally</w:t>
            </w:r>
            <w:r>
              <w:rPr>
                <w:spacing w:val="-5"/>
                <w:sz w:val="24"/>
              </w:rPr>
              <w:t> </w:t>
            </w:r>
            <w:r>
              <w:rPr>
                <w:sz w:val="24"/>
              </w:rPr>
              <w:t>implemented</w:t>
            </w:r>
            <w:r>
              <w:rPr>
                <w:spacing w:val="-5"/>
                <w:sz w:val="24"/>
              </w:rPr>
              <w:t> </w:t>
            </w:r>
            <w:r>
              <w:rPr>
                <w:sz w:val="24"/>
              </w:rPr>
              <w:t>on</w:t>
            </w:r>
            <w:r>
              <w:rPr>
                <w:spacing w:val="-5"/>
                <w:sz w:val="24"/>
              </w:rPr>
              <w:t> </w:t>
            </w:r>
            <w:r>
              <w:rPr>
                <w:sz w:val="24"/>
              </w:rPr>
              <w:t>14</w:t>
            </w:r>
            <w:r>
              <w:rPr>
                <w:sz w:val="24"/>
                <w:vertAlign w:val="superscript"/>
              </w:rPr>
              <w:t>th</w:t>
            </w:r>
            <w:r>
              <w:rPr>
                <w:spacing w:val="-6"/>
                <w:sz w:val="24"/>
                <w:vertAlign w:val="baseline"/>
              </w:rPr>
              <w:t> </w:t>
            </w:r>
            <w:r>
              <w:rPr>
                <w:sz w:val="24"/>
                <w:vertAlign w:val="baseline"/>
              </w:rPr>
              <w:t>January</w:t>
            </w:r>
            <w:r>
              <w:rPr>
                <w:spacing w:val="-7"/>
                <w:sz w:val="24"/>
                <w:vertAlign w:val="baseline"/>
              </w:rPr>
              <w:t> </w:t>
            </w:r>
            <w:r>
              <w:rPr>
                <w:sz w:val="24"/>
                <w:vertAlign w:val="baseline"/>
              </w:rPr>
              <w:t>2010 </w:t>
            </w:r>
            <w:r>
              <w:rPr>
                <w:spacing w:val="-2"/>
                <w:sz w:val="24"/>
                <w:u w:val="single"/>
                <w:vertAlign w:val="baseline"/>
              </w:rPr>
              <w:t>Access</w:t>
            </w:r>
          </w:p>
          <w:p>
            <w:pPr>
              <w:pStyle w:val="TableParagraph"/>
              <w:spacing w:before="3"/>
              <w:ind w:left="634"/>
              <w:jc w:val="both"/>
              <w:rPr>
                <w:sz w:val="24"/>
              </w:rPr>
            </w:pPr>
            <w:r>
              <w:rPr>
                <w:position w:val="-5"/>
              </w:rPr>
              <w:drawing>
                <wp:inline distT="0" distB="0" distL="0" distR="0">
                  <wp:extent cx="140207" cy="187451"/>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The policy will be available on the Foundation Trust Intranet</w:t>
            </w:r>
          </w:p>
          <w:p>
            <w:pPr>
              <w:pStyle w:val="TableParagraph"/>
              <w:spacing w:line="237" w:lineRule="auto" w:before="77"/>
              <w:ind w:left="994" w:right="48" w:hanging="360"/>
              <w:jc w:val="both"/>
              <w:rPr>
                <w:sz w:val="24"/>
              </w:rPr>
            </w:pPr>
            <w:r>
              <w:rPr>
                <w:position w:val="-5"/>
              </w:rPr>
              <w:drawing>
                <wp:inline distT="0" distB="0" distL="0" distR="0">
                  <wp:extent cx="140207" cy="187451"/>
                  <wp:effectExtent l="0" t="0" r="0" b="0"/>
                  <wp:docPr id="80" name="Image 80"/>
                  <wp:cNvGraphicFramePr>
                    <a:graphicFrameLocks/>
                  </wp:cNvGraphicFramePr>
                  <a:graphic>
                    <a:graphicData uri="http://schemas.openxmlformats.org/drawingml/2006/picture">
                      <pic:pic>
                        <pic:nvPicPr>
                          <pic:cNvPr id="80" name="Image 80"/>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hAnsi="Times New Roman"/>
                <w:spacing w:val="40"/>
                <w:sz w:val="20"/>
              </w:rPr>
              <w:t> </w:t>
            </w:r>
            <w:r>
              <w:rPr>
                <w:sz w:val="24"/>
              </w:rPr>
              <w:t>Key points of</w:t>
            </w:r>
            <w:r>
              <w:rPr>
                <w:spacing w:val="40"/>
                <w:sz w:val="24"/>
              </w:rPr>
              <w:t> </w:t>
            </w:r>
            <w:r>
              <w:rPr>
                <w:sz w:val="24"/>
              </w:rPr>
              <w:t>this policy</w:t>
            </w:r>
            <w:r>
              <w:rPr>
                <w:spacing w:val="40"/>
                <w:sz w:val="24"/>
              </w:rPr>
              <w:t> </w:t>
            </w:r>
            <w:r>
              <w:rPr>
                <w:sz w:val="24"/>
              </w:rPr>
              <w:t>will be</w:t>
            </w:r>
            <w:r>
              <w:rPr>
                <w:spacing w:val="40"/>
                <w:sz w:val="24"/>
              </w:rPr>
              <w:t> </w:t>
            </w:r>
            <w:r>
              <w:rPr>
                <w:sz w:val="24"/>
              </w:rPr>
              <w:t>located on the Adult</w:t>
            </w:r>
            <w:r>
              <w:rPr>
                <w:spacing w:val="40"/>
                <w:sz w:val="24"/>
              </w:rPr>
              <w:t> </w:t>
            </w:r>
            <w:r>
              <w:rPr>
                <w:sz w:val="24"/>
              </w:rPr>
              <w:t>Observation Chart booklet, Fluid Balance Charts and Neurological Observation Charts, which will be kept at the patient’s bedside at all, times for</w:t>
            </w:r>
            <w:r>
              <w:rPr>
                <w:spacing w:val="40"/>
                <w:sz w:val="24"/>
              </w:rPr>
              <w:t> </w:t>
            </w:r>
            <w:r>
              <w:rPr>
                <w:sz w:val="24"/>
              </w:rPr>
              <w:t>ease of access.</w:t>
            </w:r>
          </w:p>
        </w:tc>
      </w:tr>
      <w:tr>
        <w:trPr>
          <w:trHeight w:val="860" w:hRule="atLeast"/>
        </w:trPr>
        <w:tc>
          <w:tcPr>
            <w:tcW w:w="659" w:type="dxa"/>
          </w:tcPr>
          <w:p>
            <w:pPr>
              <w:pStyle w:val="TableParagraph"/>
              <w:spacing w:before="96"/>
              <w:rPr>
                <w:rFonts w:ascii="Arial"/>
                <w:b/>
                <w:sz w:val="24"/>
              </w:rPr>
            </w:pPr>
          </w:p>
          <w:p>
            <w:pPr>
              <w:pStyle w:val="TableParagraph"/>
              <w:spacing w:before="1"/>
              <w:ind w:left="50"/>
              <w:rPr>
                <w:rFonts w:ascii="Arial"/>
                <w:b/>
                <w:sz w:val="24"/>
              </w:rPr>
            </w:pPr>
            <w:r>
              <w:rPr>
                <w:rFonts w:ascii="Arial"/>
                <w:b/>
                <w:spacing w:val="-5"/>
                <w:sz w:val="24"/>
              </w:rPr>
              <w:t>7.0</w:t>
            </w:r>
          </w:p>
        </w:tc>
        <w:tc>
          <w:tcPr>
            <w:tcW w:w="8470" w:type="dxa"/>
          </w:tcPr>
          <w:p>
            <w:pPr>
              <w:pStyle w:val="TableParagraph"/>
              <w:spacing w:before="96"/>
              <w:rPr>
                <w:rFonts w:ascii="Arial"/>
                <w:b/>
                <w:sz w:val="24"/>
              </w:rPr>
            </w:pPr>
          </w:p>
          <w:p>
            <w:pPr>
              <w:pStyle w:val="TableParagraph"/>
              <w:spacing w:before="1"/>
              <w:ind w:left="274"/>
              <w:rPr>
                <w:rFonts w:ascii="Arial"/>
                <w:b/>
                <w:sz w:val="24"/>
              </w:rPr>
            </w:pPr>
            <w:r>
              <w:rPr>
                <w:rFonts w:ascii="Arial"/>
                <w:b/>
                <w:sz w:val="24"/>
              </w:rPr>
              <w:t>Review</w:t>
            </w:r>
            <w:r>
              <w:rPr>
                <w:rFonts w:ascii="Arial"/>
                <w:b/>
                <w:sz w:val="22"/>
              </w:rPr>
              <w:t>, </w:t>
            </w:r>
            <w:r>
              <w:rPr>
                <w:rFonts w:ascii="Arial"/>
                <w:b/>
                <w:sz w:val="24"/>
              </w:rPr>
              <w:t>Updating</w:t>
            </w:r>
            <w:r>
              <w:rPr>
                <w:rFonts w:ascii="Arial"/>
                <w:b/>
                <w:spacing w:val="-5"/>
                <w:sz w:val="24"/>
              </w:rPr>
              <w:t> </w:t>
            </w:r>
            <w:r>
              <w:rPr>
                <w:rFonts w:ascii="Arial"/>
                <w:b/>
                <w:sz w:val="24"/>
              </w:rPr>
              <w:t>and Archiving</w:t>
            </w:r>
            <w:r>
              <w:rPr>
                <w:rFonts w:ascii="Arial"/>
                <w:b/>
                <w:spacing w:val="-2"/>
                <w:sz w:val="24"/>
              </w:rPr>
              <w:t> </w:t>
            </w:r>
            <w:r>
              <w:rPr>
                <w:rFonts w:ascii="Arial"/>
                <w:b/>
                <w:sz w:val="24"/>
              </w:rPr>
              <w:t>of</w:t>
            </w:r>
            <w:r>
              <w:rPr>
                <w:rFonts w:ascii="Arial"/>
                <w:b/>
                <w:spacing w:val="-2"/>
                <w:sz w:val="24"/>
              </w:rPr>
              <w:t> </w:t>
            </w:r>
            <w:r>
              <w:rPr>
                <w:rFonts w:ascii="Arial"/>
                <w:b/>
                <w:sz w:val="24"/>
              </w:rPr>
              <w:t>this </w:t>
            </w:r>
            <w:r>
              <w:rPr>
                <w:rFonts w:ascii="Arial"/>
                <w:b/>
                <w:spacing w:val="-2"/>
                <w:sz w:val="24"/>
              </w:rPr>
              <w:t>Document</w:t>
            </w:r>
          </w:p>
        </w:tc>
      </w:tr>
      <w:tr>
        <w:trPr>
          <w:trHeight w:val="3662" w:hRule="atLeast"/>
        </w:trPr>
        <w:tc>
          <w:tcPr>
            <w:tcW w:w="659" w:type="dxa"/>
          </w:tcPr>
          <w:p>
            <w:pPr>
              <w:pStyle w:val="TableParagraph"/>
              <w:spacing w:before="204"/>
              <w:ind w:left="50"/>
              <w:rPr>
                <w:rFonts w:ascii="Arial"/>
                <w:b/>
                <w:sz w:val="24"/>
              </w:rPr>
            </w:pPr>
            <w:r>
              <w:rPr>
                <w:rFonts w:ascii="Arial"/>
                <w:b/>
                <w:spacing w:val="-5"/>
                <w:sz w:val="24"/>
              </w:rPr>
              <w:t>7.1</w:t>
            </w:r>
          </w:p>
          <w:p>
            <w:pPr>
              <w:pStyle w:val="TableParagraph"/>
              <w:rPr>
                <w:rFonts w:ascii="Arial"/>
                <w:b/>
                <w:sz w:val="24"/>
              </w:rPr>
            </w:pPr>
          </w:p>
          <w:p>
            <w:pPr>
              <w:pStyle w:val="TableParagraph"/>
              <w:spacing w:before="240"/>
              <w:rPr>
                <w:rFonts w:ascii="Arial"/>
                <w:b/>
                <w:sz w:val="24"/>
              </w:rPr>
            </w:pPr>
          </w:p>
          <w:p>
            <w:pPr>
              <w:pStyle w:val="TableParagraph"/>
              <w:ind w:left="50"/>
              <w:rPr>
                <w:rFonts w:ascii="Arial"/>
                <w:b/>
                <w:sz w:val="24"/>
              </w:rPr>
            </w:pPr>
            <w:r>
              <w:rPr>
                <w:rFonts w:ascii="Arial"/>
                <w:b/>
                <w:spacing w:val="-5"/>
                <w:sz w:val="24"/>
              </w:rPr>
              <w:t>7.2</w:t>
            </w:r>
          </w:p>
          <w:p>
            <w:pPr>
              <w:pStyle w:val="TableParagraph"/>
              <w:rPr>
                <w:rFonts w:ascii="Arial"/>
                <w:b/>
                <w:sz w:val="24"/>
              </w:rPr>
            </w:pPr>
          </w:p>
          <w:p>
            <w:pPr>
              <w:pStyle w:val="TableParagraph"/>
              <w:spacing w:before="240"/>
              <w:rPr>
                <w:rFonts w:ascii="Arial"/>
                <w:b/>
                <w:sz w:val="24"/>
              </w:rPr>
            </w:pPr>
          </w:p>
          <w:p>
            <w:pPr>
              <w:pStyle w:val="TableParagraph"/>
              <w:ind w:left="50"/>
              <w:rPr>
                <w:rFonts w:ascii="Arial"/>
                <w:b/>
                <w:sz w:val="24"/>
              </w:rPr>
            </w:pPr>
            <w:r>
              <w:rPr>
                <w:rFonts w:ascii="Arial"/>
                <w:b/>
                <w:spacing w:val="-5"/>
                <w:sz w:val="24"/>
              </w:rPr>
              <w:t>7.3</w:t>
            </w:r>
          </w:p>
        </w:tc>
        <w:tc>
          <w:tcPr>
            <w:tcW w:w="8470" w:type="dxa"/>
          </w:tcPr>
          <w:p>
            <w:pPr>
              <w:pStyle w:val="TableParagraph"/>
              <w:spacing w:before="225"/>
              <w:ind w:left="274"/>
              <w:rPr>
                <w:sz w:val="24"/>
              </w:rPr>
            </w:pPr>
            <w:r>
              <w:rPr>
                <w:spacing w:val="-2"/>
                <w:sz w:val="24"/>
                <w:u w:val="single"/>
              </w:rPr>
              <w:t>Review</w:t>
            </w:r>
          </w:p>
          <w:p>
            <w:pPr>
              <w:pStyle w:val="TableParagraph"/>
              <w:spacing w:line="242" w:lineRule="auto" w:before="77"/>
              <w:ind w:left="274"/>
              <w:rPr>
                <w:sz w:val="24"/>
              </w:rPr>
            </w:pPr>
            <w:r>
              <w:rPr>
                <w:sz w:val="24"/>
              </w:rPr>
              <w:t>This</w:t>
            </w:r>
            <w:r>
              <w:rPr>
                <w:spacing w:val="-1"/>
                <w:sz w:val="24"/>
              </w:rPr>
              <w:t> </w:t>
            </w:r>
            <w:r>
              <w:rPr>
                <w:sz w:val="24"/>
              </w:rPr>
              <w:t>policy</w:t>
            </w:r>
            <w:r>
              <w:rPr>
                <w:spacing w:val="-1"/>
                <w:sz w:val="24"/>
              </w:rPr>
              <w:t> </w:t>
            </w:r>
            <w:r>
              <w:rPr>
                <w:sz w:val="24"/>
              </w:rPr>
              <w:t>will be formally</w:t>
            </w:r>
            <w:r>
              <w:rPr>
                <w:spacing w:val="-1"/>
                <w:sz w:val="24"/>
              </w:rPr>
              <w:t> </w:t>
            </w:r>
            <w:r>
              <w:rPr>
                <w:sz w:val="24"/>
              </w:rPr>
              <w:t>reviewed in July</w:t>
            </w:r>
            <w:r>
              <w:rPr>
                <w:spacing w:val="-1"/>
                <w:sz w:val="24"/>
              </w:rPr>
              <w:t> </w:t>
            </w:r>
            <w:r>
              <w:rPr>
                <w:sz w:val="24"/>
              </w:rPr>
              <w:t>2014.</w:t>
            </w:r>
            <w:r>
              <w:rPr>
                <w:spacing w:val="-3"/>
                <w:sz w:val="24"/>
              </w:rPr>
              <w:t> </w:t>
            </w:r>
            <w:r>
              <w:rPr>
                <w:sz w:val="24"/>
              </w:rPr>
              <w:t>The review will be initiated by the author of this policy</w:t>
            </w:r>
          </w:p>
          <w:p>
            <w:pPr>
              <w:pStyle w:val="TableParagraph"/>
              <w:spacing w:before="79"/>
              <w:ind w:left="274"/>
              <w:rPr>
                <w:sz w:val="24"/>
              </w:rPr>
            </w:pPr>
            <w:r>
              <w:rPr>
                <w:spacing w:val="-2"/>
                <w:sz w:val="24"/>
                <w:u w:val="single"/>
              </w:rPr>
              <w:t>Updating</w:t>
            </w:r>
          </w:p>
          <w:p>
            <w:pPr>
              <w:pStyle w:val="TableParagraph"/>
              <w:spacing w:line="242" w:lineRule="auto" w:before="76"/>
              <w:ind w:left="274"/>
              <w:rPr>
                <w:sz w:val="24"/>
              </w:rPr>
            </w:pPr>
            <w:r>
              <w:rPr>
                <w:sz w:val="24"/>
              </w:rPr>
              <w:t>This</w:t>
            </w:r>
            <w:r>
              <w:rPr>
                <w:spacing w:val="40"/>
                <w:sz w:val="24"/>
              </w:rPr>
              <w:t> </w:t>
            </w:r>
            <w:r>
              <w:rPr>
                <w:sz w:val="24"/>
              </w:rPr>
              <w:t>policy</w:t>
            </w:r>
            <w:r>
              <w:rPr>
                <w:spacing w:val="40"/>
                <w:sz w:val="24"/>
              </w:rPr>
              <w:t> </w:t>
            </w:r>
            <w:r>
              <w:rPr>
                <w:sz w:val="24"/>
              </w:rPr>
              <w:t>will</w:t>
            </w:r>
            <w:r>
              <w:rPr>
                <w:spacing w:val="40"/>
                <w:sz w:val="24"/>
              </w:rPr>
              <w:t> </w:t>
            </w:r>
            <w:r>
              <w:rPr>
                <w:sz w:val="24"/>
              </w:rPr>
              <w:t>be</w:t>
            </w:r>
            <w:r>
              <w:rPr>
                <w:spacing w:val="40"/>
                <w:sz w:val="24"/>
              </w:rPr>
              <w:t> </w:t>
            </w:r>
            <w:r>
              <w:rPr>
                <w:sz w:val="24"/>
              </w:rPr>
              <w:t>updated</w:t>
            </w:r>
            <w:r>
              <w:rPr>
                <w:spacing w:val="40"/>
                <w:sz w:val="24"/>
              </w:rPr>
              <w:t> </w:t>
            </w:r>
            <w:r>
              <w:rPr>
                <w:sz w:val="24"/>
              </w:rPr>
              <w:t>if</w:t>
            </w:r>
            <w:r>
              <w:rPr>
                <w:spacing w:val="40"/>
                <w:sz w:val="24"/>
              </w:rPr>
              <w:t> </w:t>
            </w:r>
            <w:r>
              <w:rPr>
                <w:sz w:val="24"/>
              </w:rPr>
              <w:t>any</w:t>
            </w:r>
            <w:r>
              <w:rPr>
                <w:spacing w:val="40"/>
                <w:sz w:val="24"/>
              </w:rPr>
              <w:t> </w:t>
            </w:r>
            <w:r>
              <w:rPr>
                <w:sz w:val="24"/>
              </w:rPr>
              <w:t>new</w:t>
            </w:r>
            <w:r>
              <w:rPr>
                <w:spacing w:val="40"/>
                <w:sz w:val="24"/>
              </w:rPr>
              <w:t> </w:t>
            </w:r>
            <w:r>
              <w:rPr>
                <w:sz w:val="24"/>
              </w:rPr>
              <w:t>evidence</w:t>
            </w:r>
            <w:r>
              <w:rPr>
                <w:spacing w:val="40"/>
                <w:sz w:val="24"/>
              </w:rPr>
              <w:t> </w:t>
            </w:r>
            <w:r>
              <w:rPr>
                <w:sz w:val="24"/>
              </w:rPr>
              <w:t>is</w:t>
            </w:r>
            <w:r>
              <w:rPr>
                <w:spacing w:val="40"/>
                <w:sz w:val="24"/>
              </w:rPr>
              <w:t> </w:t>
            </w:r>
            <w:r>
              <w:rPr>
                <w:sz w:val="24"/>
              </w:rPr>
              <w:t>produced</w:t>
            </w:r>
            <w:r>
              <w:rPr>
                <w:spacing w:val="40"/>
                <w:sz w:val="24"/>
              </w:rPr>
              <w:t> </w:t>
            </w:r>
            <w:r>
              <w:rPr>
                <w:sz w:val="24"/>
              </w:rPr>
              <w:t>or</w:t>
            </w:r>
            <w:r>
              <w:rPr>
                <w:spacing w:val="40"/>
                <w:sz w:val="24"/>
              </w:rPr>
              <w:t> </w:t>
            </w:r>
            <w:r>
              <w:rPr>
                <w:sz w:val="24"/>
              </w:rPr>
              <w:t>by</w:t>
            </w:r>
            <w:r>
              <w:rPr>
                <w:spacing w:val="40"/>
                <w:sz w:val="24"/>
              </w:rPr>
              <w:t> </w:t>
            </w:r>
            <w:r>
              <w:rPr>
                <w:sz w:val="24"/>
              </w:rPr>
              <w:t>any</w:t>
            </w:r>
            <w:r>
              <w:rPr>
                <w:spacing w:val="40"/>
                <w:sz w:val="24"/>
              </w:rPr>
              <w:t> </w:t>
            </w:r>
            <w:r>
              <w:rPr>
                <w:sz w:val="24"/>
              </w:rPr>
              <w:t>substantial change in national policy.</w:t>
            </w:r>
          </w:p>
          <w:p>
            <w:pPr>
              <w:pStyle w:val="TableParagraph"/>
              <w:spacing w:before="77"/>
              <w:ind w:left="274"/>
              <w:rPr>
                <w:sz w:val="24"/>
              </w:rPr>
            </w:pPr>
            <w:r>
              <w:rPr>
                <w:spacing w:val="-2"/>
                <w:sz w:val="24"/>
                <w:u w:val="single"/>
              </w:rPr>
              <w:t>Archiving</w:t>
            </w:r>
          </w:p>
          <w:p>
            <w:pPr>
              <w:pStyle w:val="TableParagraph"/>
              <w:spacing w:before="79"/>
              <w:ind w:left="274"/>
              <w:rPr>
                <w:sz w:val="24"/>
              </w:rPr>
            </w:pPr>
            <w:r>
              <w:rPr>
                <w:sz w:val="24"/>
              </w:rPr>
              <w:t>The</w:t>
            </w:r>
            <w:r>
              <w:rPr>
                <w:spacing w:val="19"/>
                <w:sz w:val="24"/>
              </w:rPr>
              <w:t> </w:t>
            </w:r>
            <w:r>
              <w:rPr>
                <w:sz w:val="24"/>
              </w:rPr>
              <w:t>process</w:t>
            </w:r>
            <w:r>
              <w:rPr>
                <w:spacing w:val="17"/>
                <w:sz w:val="24"/>
              </w:rPr>
              <w:t> </w:t>
            </w:r>
            <w:r>
              <w:rPr>
                <w:sz w:val="24"/>
              </w:rPr>
              <w:t>for</w:t>
            </w:r>
            <w:r>
              <w:rPr>
                <w:spacing w:val="18"/>
                <w:sz w:val="24"/>
              </w:rPr>
              <w:t> </w:t>
            </w:r>
            <w:r>
              <w:rPr>
                <w:sz w:val="24"/>
              </w:rPr>
              <w:t>archiving</w:t>
            </w:r>
            <w:r>
              <w:rPr>
                <w:spacing w:val="21"/>
                <w:sz w:val="24"/>
              </w:rPr>
              <w:t> </w:t>
            </w:r>
            <w:r>
              <w:rPr>
                <w:sz w:val="24"/>
              </w:rPr>
              <w:t>will</w:t>
            </w:r>
            <w:r>
              <w:rPr>
                <w:spacing w:val="18"/>
                <w:sz w:val="24"/>
              </w:rPr>
              <w:t> </w:t>
            </w:r>
            <w:r>
              <w:rPr>
                <w:sz w:val="24"/>
              </w:rPr>
              <w:t>be</w:t>
            </w:r>
            <w:r>
              <w:rPr>
                <w:spacing w:val="20"/>
                <w:sz w:val="24"/>
              </w:rPr>
              <w:t> </w:t>
            </w:r>
            <w:r>
              <w:rPr>
                <w:sz w:val="24"/>
              </w:rPr>
              <w:t>in</w:t>
            </w:r>
            <w:r>
              <w:rPr>
                <w:spacing w:val="19"/>
                <w:sz w:val="24"/>
              </w:rPr>
              <w:t> </w:t>
            </w:r>
            <w:r>
              <w:rPr>
                <w:sz w:val="24"/>
              </w:rPr>
              <w:t>line</w:t>
            </w:r>
            <w:r>
              <w:rPr>
                <w:spacing w:val="22"/>
                <w:sz w:val="24"/>
              </w:rPr>
              <w:t> </w:t>
            </w:r>
            <w:r>
              <w:rPr>
                <w:sz w:val="24"/>
              </w:rPr>
              <w:t>with</w:t>
            </w:r>
            <w:r>
              <w:rPr>
                <w:spacing w:val="21"/>
                <w:sz w:val="24"/>
              </w:rPr>
              <w:t> </w:t>
            </w:r>
            <w:r>
              <w:rPr>
                <w:sz w:val="24"/>
              </w:rPr>
              <w:t>the</w:t>
            </w:r>
            <w:r>
              <w:rPr>
                <w:spacing w:val="20"/>
                <w:sz w:val="24"/>
              </w:rPr>
              <w:t> </w:t>
            </w:r>
            <w:r>
              <w:rPr>
                <w:sz w:val="24"/>
              </w:rPr>
              <w:t>procedure</w:t>
            </w:r>
            <w:r>
              <w:rPr>
                <w:spacing w:val="19"/>
                <w:sz w:val="24"/>
              </w:rPr>
              <w:t> </w:t>
            </w:r>
            <w:r>
              <w:rPr>
                <w:sz w:val="24"/>
              </w:rPr>
              <w:t>as</w:t>
            </w:r>
            <w:r>
              <w:rPr>
                <w:spacing w:val="19"/>
                <w:sz w:val="24"/>
              </w:rPr>
              <w:t> </w:t>
            </w:r>
            <w:r>
              <w:rPr>
                <w:sz w:val="24"/>
              </w:rPr>
              <w:t>described</w:t>
            </w:r>
            <w:r>
              <w:rPr>
                <w:spacing w:val="20"/>
                <w:sz w:val="24"/>
              </w:rPr>
              <w:t> </w:t>
            </w:r>
            <w:r>
              <w:rPr>
                <w:spacing w:val="-5"/>
                <w:sz w:val="24"/>
              </w:rPr>
              <w:t>in</w:t>
            </w:r>
          </w:p>
          <w:p>
            <w:pPr>
              <w:pStyle w:val="TableParagraph"/>
              <w:ind w:left="274"/>
              <w:rPr>
                <w:sz w:val="24"/>
              </w:rPr>
            </w:pPr>
            <w:r>
              <w:rPr>
                <w:sz w:val="24"/>
              </w:rPr>
              <w:t>10.2</w:t>
            </w:r>
            <w:r>
              <w:rPr>
                <w:spacing w:val="38"/>
                <w:sz w:val="24"/>
              </w:rPr>
              <w:t> </w:t>
            </w:r>
            <w:r>
              <w:rPr>
                <w:sz w:val="24"/>
              </w:rPr>
              <w:t>and</w:t>
            </w:r>
            <w:r>
              <w:rPr>
                <w:spacing w:val="37"/>
                <w:sz w:val="24"/>
              </w:rPr>
              <w:t> </w:t>
            </w:r>
            <w:r>
              <w:rPr>
                <w:sz w:val="24"/>
              </w:rPr>
              <w:t>10.3</w:t>
            </w:r>
            <w:r>
              <w:rPr>
                <w:spacing w:val="39"/>
                <w:sz w:val="24"/>
              </w:rPr>
              <w:t> </w:t>
            </w:r>
            <w:r>
              <w:rPr>
                <w:sz w:val="24"/>
              </w:rPr>
              <w:t>of</w:t>
            </w:r>
            <w:r>
              <w:rPr>
                <w:spacing w:val="40"/>
                <w:sz w:val="24"/>
              </w:rPr>
              <w:t> </w:t>
            </w:r>
            <w:r>
              <w:rPr>
                <w:sz w:val="24"/>
              </w:rPr>
              <w:t>the</w:t>
            </w:r>
            <w:r>
              <w:rPr>
                <w:spacing w:val="37"/>
                <w:sz w:val="24"/>
              </w:rPr>
              <w:t> </w:t>
            </w:r>
            <w:r>
              <w:rPr>
                <w:sz w:val="24"/>
              </w:rPr>
              <w:t>Arrangements</w:t>
            </w:r>
            <w:r>
              <w:rPr>
                <w:spacing w:val="37"/>
                <w:sz w:val="24"/>
              </w:rPr>
              <w:t> </w:t>
            </w:r>
            <w:r>
              <w:rPr>
                <w:sz w:val="24"/>
              </w:rPr>
              <w:t>for</w:t>
            </w:r>
            <w:r>
              <w:rPr>
                <w:spacing w:val="38"/>
                <w:sz w:val="24"/>
              </w:rPr>
              <w:t> </w:t>
            </w:r>
            <w:r>
              <w:rPr>
                <w:sz w:val="24"/>
              </w:rPr>
              <w:t>the</w:t>
            </w:r>
            <w:r>
              <w:rPr>
                <w:spacing w:val="37"/>
                <w:sz w:val="24"/>
              </w:rPr>
              <w:t> </w:t>
            </w:r>
            <w:r>
              <w:rPr>
                <w:sz w:val="24"/>
              </w:rPr>
              <w:t>Development</w:t>
            </w:r>
            <w:r>
              <w:rPr>
                <w:spacing w:val="38"/>
                <w:sz w:val="24"/>
              </w:rPr>
              <w:t> </w:t>
            </w:r>
            <w:r>
              <w:rPr>
                <w:sz w:val="24"/>
              </w:rPr>
              <w:t>and</w:t>
            </w:r>
            <w:r>
              <w:rPr>
                <w:spacing w:val="39"/>
                <w:sz w:val="24"/>
              </w:rPr>
              <w:t> </w:t>
            </w:r>
            <w:r>
              <w:rPr>
                <w:sz w:val="24"/>
              </w:rPr>
              <w:t>Approval</w:t>
            </w:r>
            <w:r>
              <w:rPr>
                <w:spacing w:val="38"/>
                <w:sz w:val="24"/>
              </w:rPr>
              <w:t> </w:t>
            </w:r>
            <w:r>
              <w:rPr>
                <w:sz w:val="24"/>
              </w:rPr>
              <w:t>of Foundation</w:t>
            </w:r>
            <w:r>
              <w:rPr>
                <w:spacing w:val="8"/>
                <w:sz w:val="24"/>
              </w:rPr>
              <w:t> </w:t>
            </w:r>
            <w:r>
              <w:rPr>
                <w:sz w:val="24"/>
              </w:rPr>
              <w:t>Trust-wide</w:t>
            </w:r>
            <w:r>
              <w:rPr>
                <w:spacing w:val="11"/>
                <w:sz w:val="24"/>
              </w:rPr>
              <w:t> </w:t>
            </w:r>
            <w:r>
              <w:rPr>
                <w:sz w:val="24"/>
              </w:rPr>
              <w:t>Policies</w:t>
            </w:r>
            <w:r>
              <w:rPr>
                <w:spacing w:val="9"/>
                <w:sz w:val="24"/>
              </w:rPr>
              <w:t> </w:t>
            </w:r>
            <w:r>
              <w:rPr>
                <w:sz w:val="24"/>
              </w:rPr>
              <w:t>or</w:t>
            </w:r>
            <w:r>
              <w:rPr>
                <w:spacing w:val="9"/>
                <w:sz w:val="24"/>
              </w:rPr>
              <w:t> </w:t>
            </w:r>
            <w:r>
              <w:rPr>
                <w:sz w:val="24"/>
              </w:rPr>
              <w:t>procedural</w:t>
            </w:r>
            <w:r>
              <w:rPr>
                <w:spacing w:val="9"/>
                <w:sz w:val="24"/>
              </w:rPr>
              <w:t> </w:t>
            </w:r>
            <w:r>
              <w:rPr>
                <w:sz w:val="24"/>
              </w:rPr>
              <w:t>documents</w:t>
            </w:r>
            <w:r>
              <w:rPr>
                <w:spacing w:val="8"/>
                <w:sz w:val="24"/>
              </w:rPr>
              <w:t> </w:t>
            </w:r>
            <w:r>
              <w:rPr>
                <w:sz w:val="24"/>
              </w:rPr>
              <w:t>policy</w:t>
            </w:r>
            <w:r>
              <w:rPr>
                <w:spacing w:val="14"/>
                <w:sz w:val="24"/>
              </w:rPr>
              <w:t> </w:t>
            </w:r>
            <w:r>
              <w:rPr>
                <w:sz w:val="24"/>
              </w:rPr>
              <w:t>available</w:t>
            </w:r>
            <w:r>
              <w:rPr>
                <w:spacing w:val="12"/>
                <w:sz w:val="24"/>
              </w:rPr>
              <w:t> </w:t>
            </w:r>
            <w:r>
              <w:rPr>
                <w:spacing w:val="-5"/>
                <w:sz w:val="24"/>
              </w:rPr>
              <w:t>on</w:t>
            </w:r>
          </w:p>
          <w:p>
            <w:pPr>
              <w:pStyle w:val="TableParagraph"/>
              <w:spacing w:line="256" w:lineRule="exact" w:before="3"/>
              <w:ind w:left="274"/>
              <w:rPr>
                <w:sz w:val="24"/>
              </w:rPr>
            </w:pPr>
            <w:r>
              <w:rPr>
                <w:sz w:val="24"/>
              </w:rPr>
              <w:t>the</w:t>
            </w:r>
            <w:r>
              <w:rPr>
                <w:spacing w:val="-2"/>
                <w:sz w:val="24"/>
              </w:rPr>
              <w:t> </w:t>
            </w:r>
            <w:r>
              <w:rPr>
                <w:sz w:val="24"/>
              </w:rPr>
              <w:t>Trust</w:t>
            </w:r>
            <w:r>
              <w:rPr>
                <w:spacing w:val="-1"/>
                <w:sz w:val="24"/>
              </w:rPr>
              <w:t> </w:t>
            </w:r>
            <w:r>
              <w:rPr>
                <w:spacing w:val="-2"/>
                <w:sz w:val="24"/>
              </w:rPr>
              <w:t>Intranet.</w:t>
            </w:r>
          </w:p>
        </w:tc>
      </w:tr>
    </w:tbl>
    <w:p>
      <w:pPr>
        <w:pStyle w:val="TableParagraph"/>
        <w:spacing w:after="0" w:line="256" w:lineRule="exact"/>
        <w:rPr>
          <w:sz w:val="24"/>
        </w:rPr>
        <w:sectPr>
          <w:pgSz w:w="11910" w:h="16840"/>
          <w:pgMar w:header="0" w:footer="955" w:top="680" w:bottom="1140" w:left="425" w:right="566"/>
        </w:sectPr>
      </w:pPr>
    </w:p>
    <w:p>
      <w:pPr>
        <w:pStyle w:val="BodyText"/>
        <w:spacing w:before="4"/>
        <w:rPr>
          <w:rFonts w:ascii="Arial"/>
          <w:b/>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9"/>
        <w:gridCol w:w="8468"/>
      </w:tblGrid>
      <w:tr>
        <w:trPr>
          <w:trHeight w:val="4708" w:hRule="atLeast"/>
        </w:trPr>
        <w:tc>
          <w:tcPr>
            <w:tcW w:w="659" w:type="dxa"/>
          </w:tcPr>
          <w:p>
            <w:pPr>
              <w:pStyle w:val="TableParagraph"/>
              <w:spacing w:line="268" w:lineRule="exact"/>
              <w:ind w:left="50"/>
              <w:rPr>
                <w:rFonts w:ascii="Arial"/>
                <w:b/>
                <w:sz w:val="24"/>
              </w:rPr>
            </w:pPr>
            <w:r>
              <w:rPr>
                <w:rFonts w:ascii="Arial"/>
                <w:b/>
                <w:spacing w:val="-5"/>
                <w:sz w:val="24"/>
              </w:rPr>
              <w:t>8.0</w:t>
            </w:r>
          </w:p>
        </w:tc>
        <w:tc>
          <w:tcPr>
            <w:tcW w:w="8468" w:type="dxa"/>
          </w:tcPr>
          <w:p>
            <w:pPr>
              <w:pStyle w:val="TableParagraph"/>
              <w:spacing w:line="268" w:lineRule="exact"/>
              <w:ind w:left="274"/>
              <w:rPr>
                <w:rFonts w:ascii="Arial"/>
                <w:b/>
                <w:sz w:val="24"/>
              </w:rPr>
            </w:pPr>
            <w:r>
              <w:rPr>
                <w:rFonts w:ascii="Arial"/>
                <w:b/>
                <w:sz w:val="24"/>
              </w:rPr>
              <w:t>Expert</w:t>
            </w:r>
            <w:r>
              <w:rPr>
                <w:rFonts w:ascii="Arial"/>
                <w:b/>
                <w:spacing w:val="-1"/>
                <w:sz w:val="24"/>
              </w:rPr>
              <w:t> </w:t>
            </w:r>
            <w:r>
              <w:rPr>
                <w:rFonts w:ascii="Arial"/>
                <w:b/>
                <w:sz w:val="24"/>
              </w:rPr>
              <w:t>and</w:t>
            </w:r>
            <w:r>
              <w:rPr>
                <w:rFonts w:ascii="Arial"/>
                <w:b/>
                <w:spacing w:val="-3"/>
                <w:sz w:val="24"/>
              </w:rPr>
              <w:t> </w:t>
            </w:r>
            <w:r>
              <w:rPr>
                <w:rFonts w:ascii="Arial"/>
                <w:b/>
                <w:sz w:val="24"/>
              </w:rPr>
              <w:t>Stakeholder </w:t>
            </w:r>
            <w:r>
              <w:rPr>
                <w:rFonts w:ascii="Arial"/>
                <w:b/>
                <w:spacing w:val="-2"/>
                <w:sz w:val="24"/>
              </w:rPr>
              <w:t>Involvement</w:t>
            </w:r>
          </w:p>
          <w:p>
            <w:pPr>
              <w:pStyle w:val="TableParagraph"/>
              <w:spacing w:line="312" w:lineRule="auto" w:before="79"/>
              <w:ind w:left="634" w:right="1039" w:hanging="360"/>
              <w:rPr>
                <w:sz w:val="24"/>
              </w:rPr>
            </w:pPr>
            <w:r>
              <w:rPr>
                <w:sz w:val="24"/>
              </w:rPr>
              <w:t>The</w:t>
            </w:r>
            <w:r>
              <w:rPr>
                <w:spacing w:val="-7"/>
                <w:sz w:val="24"/>
              </w:rPr>
              <w:t> </w:t>
            </w:r>
            <w:r>
              <w:rPr>
                <w:sz w:val="24"/>
              </w:rPr>
              <w:t>following</w:t>
            </w:r>
            <w:r>
              <w:rPr>
                <w:spacing w:val="-6"/>
                <w:sz w:val="24"/>
              </w:rPr>
              <w:t> </w:t>
            </w:r>
            <w:r>
              <w:rPr>
                <w:sz w:val="24"/>
              </w:rPr>
              <w:t>people</w:t>
            </w:r>
            <w:r>
              <w:rPr>
                <w:spacing w:val="-5"/>
                <w:sz w:val="24"/>
              </w:rPr>
              <w:t> </w:t>
            </w:r>
            <w:r>
              <w:rPr>
                <w:sz w:val="24"/>
              </w:rPr>
              <w:t>have</w:t>
            </w:r>
            <w:r>
              <w:rPr>
                <w:spacing w:val="-5"/>
                <w:sz w:val="24"/>
              </w:rPr>
              <w:t> </w:t>
            </w:r>
            <w:r>
              <w:rPr>
                <w:sz w:val="24"/>
              </w:rPr>
              <w:t>been</w:t>
            </w:r>
            <w:r>
              <w:rPr>
                <w:spacing w:val="-7"/>
                <w:sz w:val="24"/>
              </w:rPr>
              <w:t> </w:t>
            </w:r>
            <w:r>
              <w:rPr>
                <w:sz w:val="24"/>
              </w:rPr>
              <w:t>involved</w:t>
            </w:r>
            <w:r>
              <w:rPr>
                <w:spacing w:val="-5"/>
                <w:sz w:val="24"/>
              </w:rPr>
              <w:t> </w:t>
            </w:r>
            <w:r>
              <w:rPr>
                <w:sz w:val="24"/>
              </w:rPr>
              <w:t>in</w:t>
            </w:r>
            <w:r>
              <w:rPr>
                <w:spacing w:val="-5"/>
                <w:sz w:val="24"/>
              </w:rPr>
              <w:t> </w:t>
            </w:r>
            <w:r>
              <w:rPr>
                <w:sz w:val="24"/>
              </w:rPr>
              <w:t>developing</w:t>
            </w:r>
            <w:r>
              <w:rPr>
                <w:spacing w:val="-6"/>
                <w:sz w:val="24"/>
              </w:rPr>
              <w:t> </w:t>
            </w:r>
            <w:r>
              <w:rPr>
                <w:sz w:val="24"/>
              </w:rPr>
              <w:t>this</w:t>
            </w:r>
            <w:r>
              <w:rPr>
                <w:spacing w:val="-5"/>
                <w:sz w:val="24"/>
              </w:rPr>
              <w:t> </w:t>
            </w:r>
            <w:r>
              <w:rPr>
                <w:sz w:val="24"/>
              </w:rPr>
              <w:t>policy; </w:t>
            </w:r>
            <w:r>
              <w:rPr>
                <w:position w:val="-5"/>
                <w:sz w:val="24"/>
              </w:rPr>
              <w:drawing>
                <wp:inline distT="0" distB="0" distL="0" distR="0">
                  <wp:extent cx="140207" cy="187451"/>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Elaine Grainger, CCOT Lead</w:t>
            </w:r>
          </w:p>
          <w:p>
            <w:pPr>
              <w:pStyle w:val="TableParagraph"/>
              <w:spacing w:line="282" w:lineRule="exact"/>
              <w:ind w:left="634"/>
              <w:rPr>
                <w:sz w:val="24"/>
              </w:rPr>
            </w:pPr>
            <w:r>
              <w:rPr>
                <w:position w:val="-5"/>
              </w:rPr>
              <w:drawing>
                <wp:inline distT="0" distB="0" distL="0" distR="0">
                  <wp:extent cx="140207" cy="187451"/>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Dr Indeewar Kapila, Clinical Director CCOT</w:t>
            </w:r>
          </w:p>
          <w:p>
            <w:pPr>
              <w:pStyle w:val="TableParagraph"/>
              <w:spacing w:before="74"/>
              <w:ind w:left="994" w:hanging="360"/>
              <w:rPr>
                <w:sz w:val="24"/>
              </w:rPr>
            </w:pPr>
            <w:r>
              <w:rPr>
                <w:position w:val="-5"/>
              </w:rPr>
              <w:drawing>
                <wp:inline distT="0" distB="0" distL="0" distR="0">
                  <wp:extent cx="140207" cy="187451"/>
                  <wp:effectExtent l="0" t="0" r="0" b="0"/>
                  <wp:docPr id="83" name="Image 83"/>
                  <wp:cNvGraphicFramePr>
                    <a:graphicFrameLocks/>
                  </wp:cNvGraphicFramePr>
                  <a:graphic>
                    <a:graphicData uri="http://schemas.openxmlformats.org/drawingml/2006/picture">
                      <pic:pic>
                        <pic:nvPicPr>
                          <pic:cNvPr id="83" name="Image 83"/>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Critical</w:t>
            </w:r>
            <w:r>
              <w:rPr>
                <w:spacing w:val="80"/>
                <w:sz w:val="24"/>
              </w:rPr>
              <w:t> </w:t>
            </w:r>
            <w:r>
              <w:rPr>
                <w:sz w:val="24"/>
              </w:rPr>
              <w:t>Care</w:t>
            </w:r>
            <w:r>
              <w:rPr>
                <w:spacing w:val="80"/>
                <w:sz w:val="24"/>
              </w:rPr>
              <w:t> </w:t>
            </w:r>
            <w:r>
              <w:rPr>
                <w:sz w:val="24"/>
              </w:rPr>
              <w:t>Outreach</w:t>
            </w:r>
            <w:r>
              <w:rPr>
                <w:spacing w:val="80"/>
                <w:sz w:val="24"/>
              </w:rPr>
              <w:t> </w:t>
            </w:r>
            <w:r>
              <w:rPr>
                <w:sz w:val="24"/>
              </w:rPr>
              <w:t>Team:</w:t>
            </w:r>
            <w:r>
              <w:rPr>
                <w:spacing w:val="80"/>
                <w:sz w:val="24"/>
              </w:rPr>
              <w:t> </w:t>
            </w:r>
            <w:r>
              <w:rPr>
                <w:sz w:val="24"/>
              </w:rPr>
              <w:t>Gail</w:t>
            </w:r>
            <w:r>
              <w:rPr>
                <w:spacing w:val="80"/>
                <w:sz w:val="24"/>
              </w:rPr>
              <w:t> </w:t>
            </w:r>
            <w:r>
              <w:rPr>
                <w:sz w:val="24"/>
              </w:rPr>
              <w:t>Sharpe,</w:t>
            </w:r>
            <w:r>
              <w:rPr>
                <w:spacing w:val="80"/>
                <w:sz w:val="24"/>
              </w:rPr>
              <w:t> </w:t>
            </w:r>
            <w:r>
              <w:rPr>
                <w:sz w:val="24"/>
              </w:rPr>
              <w:t>Jenny</w:t>
            </w:r>
            <w:r>
              <w:rPr>
                <w:spacing w:val="80"/>
                <w:sz w:val="24"/>
              </w:rPr>
              <w:t> </w:t>
            </w:r>
            <w:r>
              <w:rPr>
                <w:sz w:val="24"/>
              </w:rPr>
              <w:t>Treacy,</w:t>
            </w:r>
            <w:r>
              <w:rPr>
                <w:spacing w:val="80"/>
                <w:sz w:val="24"/>
              </w:rPr>
              <w:t> </w:t>
            </w:r>
            <w:r>
              <w:rPr>
                <w:sz w:val="24"/>
              </w:rPr>
              <w:t>Katie Dickinson, Kellie Catterall.</w:t>
            </w:r>
          </w:p>
          <w:p>
            <w:pPr>
              <w:pStyle w:val="TableParagraph"/>
              <w:spacing w:line="302" w:lineRule="auto" w:before="80"/>
              <w:ind w:left="634" w:right="188"/>
              <w:rPr>
                <w:sz w:val="24"/>
              </w:rPr>
            </w:pPr>
            <w:r>
              <w:rPr>
                <w:position w:val="-5"/>
              </w:rPr>
              <w:drawing>
                <wp:inline distT="0" distB="0" distL="0" distR="0">
                  <wp:extent cx="140207" cy="187451"/>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Resucitation</w:t>
            </w:r>
            <w:r>
              <w:rPr>
                <w:spacing w:val="-6"/>
                <w:sz w:val="24"/>
              </w:rPr>
              <w:t> </w:t>
            </w:r>
            <w:r>
              <w:rPr>
                <w:sz w:val="24"/>
              </w:rPr>
              <w:t>Team:</w:t>
            </w:r>
            <w:r>
              <w:rPr>
                <w:spacing w:val="-6"/>
                <w:sz w:val="24"/>
              </w:rPr>
              <w:t> </w:t>
            </w:r>
            <w:r>
              <w:rPr>
                <w:sz w:val="24"/>
              </w:rPr>
              <w:t>Maresa</w:t>
            </w:r>
            <w:r>
              <w:rPr>
                <w:spacing w:val="-4"/>
                <w:sz w:val="24"/>
              </w:rPr>
              <w:t> </w:t>
            </w:r>
            <w:r>
              <w:rPr>
                <w:sz w:val="24"/>
              </w:rPr>
              <w:t>Johnson,</w:t>
            </w:r>
            <w:r>
              <w:rPr>
                <w:spacing w:val="-6"/>
                <w:sz w:val="24"/>
              </w:rPr>
              <w:t> </w:t>
            </w:r>
            <w:r>
              <w:rPr>
                <w:sz w:val="24"/>
              </w:rPr>
              <w:t>Louisa</w:t>
            </w:r>
            <w:r>
              <w:rPr>
                <w:spacing w:val="-6"/>
                <w:sz w:val="24"/>
              </w:rPr>
              <w:t> </w:t>
            </w:r>
            <w:r>
              <w:rPr>
                <w:sz w:val="24"/>
              </w:rPr>
              <w:t>Riley,</w:t>
            </w:r>
            <w:r>
              <w:rPr>
                <w:spacing w:val="-4"/>
                <w:sz w:val="24"/>
              </w:rPr>
              <w:t> </w:t>
            </w:r>
            <w:r>
              <w:rPr>
                <w:sz w:val="24"/>
              </w:rPr>
              <w:t>Dr</w:t>
            </w:r>
            <w:r>
              <w:rPr>
                <w:spacing w:val="-6"/>
                <w:sz w:val="24"/>
              </w:rPr>
              <w:t> </w:t>
            </w:r>
            <w:r>
              <w:rPr>
                <w:sz w:val="24"/>
              </w:rPr>
              <w:t>Mark</w:t>
            </w:r>
            <w:r>
              <w:rPr>
                <w:spacing w:val="-4"/>
                <w:sz w:val="24"/>
              </w:rPr>
              <w:t> </w:t>
            </w:r>
            <w:r>
              <w:rPr>
                <w:sz w:val="24"/>
              </w:rPr>
              <w:t>Patrick </w:t>
            </w:r>
            <w:r>
              <w:rPr>
                <w:position w:val="-5"/>
                <w:sz w:val="24"/>
              </w:rPr>
              <w:drawing>
                <wp:inline distT="0" distB="0" distL="0" distR="0">
                  <wp:extent cx="140207" cy="187451"/>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80"/>
                <w:sz w:val="24"/>
              </w:rPr>
              <w:t> </w:t>
            </w:r>
            <w:r>
              <w:rPr>
                <w:sz w:val="24"/>
              </w:rPr>
              <w:t>Helen Rodgers, Patient Safety and Quality Manager</w:t>
            </w:r>
          </w:p>
          <w:p>
            <w:pPr>
              <w:pStyle w:val="TableParagraph"/>
              <w:spacing w:line="302" w:lineRule="auto" w:before="2"/>
              <w:ind w:left="634" w:right="3910"/>
              <w:rPr>
                <w:sz w:val="24"/>
              </w:rPr>
            </w:pPr>
            <w:r>
              <w:rPr>
                <w:position w:val="-5"/>
              </w:rPr>
              <w:drawing>
                <wp:inline distT="0" distB="0" distL="0" distR="0">
                  <wp:extent cx="140207" cy="187451"/>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73"/>
                <w:sz w:val="20"/>
              </w:rPr>
              <w:t> </w:t>
            </w:r>
            <w:r>
              <w:rPr>
                <w:sz w:val="24"/>
              </w:rPr>
              <w:t>Acute</w:t>
            </w:r>
            <w:r>
              <w:rPr>
                <w:spacing w:val="-7"/>
                <w:sz w:val="24"/>
              </w:rPr>
              <w:t> </w:t>
            </w:r>
            <w:r>
              <w:rPr>
                <w:sz w:val="24"/>
              </w:rPr>
              <w:t>Care</w:t>
            </w:r>
            <w:r>
              <w:rPr>
                <w:spacing w:val="-8"/>
                <w:sz w:val="24"/>
              </w:rPr>
              <w:t> </w:t>
            </w:r>
            <w:r>
              <w:rPr>
                <w:sz w:val="24"/>
              </w:rPr>
              <w:t>Management</w:t>
            </w:r>
            <w:r>
              <w:rPr>
                <w:spacing w:val="-8"/>
                <w:sz w:val="24"/>
              </w:rPr>
              <w:t> </w:t>
            </w:r>
            <w:r>
              <w:rPr>
                <w:sz w:val="24"/>
              </w:rPr>
              <w:t>Group </w:t>
            </w:r>
            <w:r>
              <w:rPr>
                <w:position w:val="-5"/>
                <w:sz w:val="24"/>
              </w:rPr>
              <w:drawing>
                <wp:inline distT="0" distB="0" distL="0" distR="0">
                  <wp:extent cx="140207" cy="187451"/>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Heads of Nursing</w:t>
            </w:r>
          </w:p>
          <w:p>
            <w:pPr>
              <w:pStyle w:val="TableParagraph"/>
              <w:ind w:left="634"/>
              <w:rPr>
                <w:sz w:val="24"/>
              </w:rPr>
            </w:pPr>
            <w:r>
              <w:rPr>
                <w:position w:val="-5"/>
              </w:rPr>
              <w:drawing>
                <wp:inline distT="0" distB="0" distL="0" distR="0">
                  <wp:extent cx="140207" cy="187451"/>
                  <wp:effectExtent l="0" t="0" r="0" b="0"/>
                  <wp:docPr id="88" name="Image 88"/>
                  <wp:cNvGraphicFramePr>
                    <a:graphicFrameLocks/>
                  </wp:cNvGraphicFramePr>
                  <a:graphic>
                    <a:graphicData uri="http://schemas.openxmlformats.org/drawingml/2006/picture">
                      <pic:pic>
                        <pic:nvPicPr>
                          <pic:cNvPr id="88" name="Image 88"/>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Matrons</w:t>
            </w:r>
          </w:p>
          <w:p>
            <w:pPr>
              <w:pStyle w:val="TableParagraph"/>
              <w:spacing w:before="78"/>
              <w:ind w:left="634"/>
              <w:rPr>
                <w:sz w:val="24"/>
              </w:rPr>
            </w:pPr>
            <w:r>
              <w:rPr>
                <w:position w:val="-5"/>
              </w:rPr>
              <w:drawing>
                <wp:inline distT="0" distB="0" distL="0" distR="0">
                  <wp:extent cx="140207" cy="187451"/>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Ward Managers</w:t>
            </w:r>
          </w:p>
          <w:p>
            <w:pPr>
              <w:pStyle w:val="TableParagraph"/>
              <w:spacing w:before="76"/>
              <w:ind w:left="634"/>
              <w:rPr>
                <w:sz w:val="24"/>
              </w:rPr>
            </w:pPr>
            <w:r>
              <w:rPr>
                <w:position w:val="-5"/>
              </w:rPr>
              <w:drawing>
                <wp:inline distT="0" distB="0" distL="0" distR="0">
                  <wp:extent cx="140207" cy="187451"/>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Practice Based Educators</w:t>
            </w:r>
          </w:p>
        </w:tc>
      </w:tr>
      <w:tr>
        <w:trPr>
          <w:trHeight w:val="432" w:hRule="atLeast"/>
        </w:trPr>
        <w:tc>
          <w:tcPr>
            <w:tcW w:w="659" w:type="dxa"/>
          </w:tcPr>
          <w:p>
            <w:pPr>
              <w:pStyle w:val="TableParagraph"/>
              <w:spacing w:before="73"/>
              <w:ind w:left="50"/>
              <w:rPr>
                <w:rFonts w:ascii="Arial"/>
                <w:b/>
                <w:sz w:val="24"/>
              </w:rPr>
            </w:pPr>
            <w:r>
              <w:rPr>
                <w:rFonts w:ascii="Arial"/>
                <w:b/>
                <w:spacing w:val="-5"/>
                <w:sz w:val="24"/>
              </w:rPr>
              <w:t>9.0</w:t>
            </w:r>
          </w:p>
        </w:tc>
        <w:tc>
          <w:tcPr>
            <w:tcW w:w="8468" w:type="dxa"/>
          </w:tcPr>
          <w:p>
            <w:pPr>
              <w:pStyle w:val="TableParagraph"/>
              <w:spacing w:before="73"/>
              <w:ind w:left="274"/>
              <w:rPr>
                <w:rFonts w:ascii="Arial"/>
                <w:b/>
                <w:sz w:val="24"/>
              </w:rPr>
            </w:pPr>
            <w:r>
              <w:rPr>
                <w:rFonts w:ascii="Arial"/>
                <w:b/>
                <w:spacing w:val="-2"/>
                <w:sz w:val="24"/>
              </w:rPr>
              <w:t>References</w:t>
            </w:r>
          </w:p>
        </w:tc>
      </w:tr>
      <w:tr>
        <w:trPr>
          <w:trHeight w:val="594" w:hRule="atLeast"/>
        </w:trPr>
        <w:tc>
          <w:tcPr>
            <w:tcW w:w="659" w:type="dxa"/>
          </w:tcPr>
          <w:p>
            <w:pPr>
              <w:pStyle w:val="TableParagraph"/>
              <w:rPr>
                <w:rFonts w:ascii="Times New Roman"/>
                <w:sz w:val="22"/>
              </w:rPr>
            </w:pPr>
          </w:p>
        </w:tc>
        <w:tc>
          <w:tcPr>
            <w:tcW w:w="8468" w:type="dxa"/>
          </w:tcPr>
          <w:p>
            <w:pPr>
              <w:pStyle w:val="TableParagraph"/>
              <w:spacing w:before="114"/>
              <w:ind w:left="274"/>
              <w:rPr>
                <w:sz w:val="24"/>
              </w:rPr>
            </w:pPr>
            <w:r>
              <w:rPr>
                <w:sz w:val="24"/>
              </w:rPr>
              <w:t>Marsden</w:t>
            </w:r>
            <w:r>
              <w:rPr>
                <w:spacing w:val="-9"/>
                <w:sz w:val="24"/>
              </w:rPr>
              <w:t> </w:t>
            </w:r>
            <w:r>
              <w:rPr>
                <w:sz w:val="24"/>
              </w:rPr>
              <w:t>Manual</w:t>
            </w:r>
            <w:r>
              <w:rPr>
                <w:spacing w:val="-10"/>
                <w:sz w:val="24"/>
              </w:rPr>
              <w:t> </w:t>
            </w:r>
            <w:r>
              <w:rPr>
                <w:sz w:val="24"/>
              </w:rPr>
              <w:t>7</w:t>
            </w:r>
            <w:r>
              <w:rPr>
                <w:sz w:val="24"/>
                <w:vertAlign w:val="superscript"/>
              </w:rPr>
              <w:t>th</w:t>
            </w:r>
            <w:r>
              <w:rPr>
                <w:spacing w:val="-9"/>
                <w:sz w:val="24"/>
                <w:vertAlign w:val="baseline"/>
              </w:rPr>
              <w:t> </w:t>
            </w:r>
            <w:r>
              <w:rPr>
                <w:sz w:val="24"/>
                <w:vertAlign w:val="baseline"/>
              </w:rPr>
              <w:t>edition.</w:t>
            </w:r>
            <w:r>
              <w:rPr>
                <w:spacing w:val="-6"/>
                <w:sz w:val="24"/>
                <w:vertAlign w:val="baseline"/>
              </w:rPr>
              <w:t> </w:t>
            </w:r>
            <w:r>
              <w:rPr>
                <w:sz w:val="24"/>
                <w:vertAlign w:val="baseline"/>
              </w:rPr>
              <w:t>UHSM</w:t>
            </w:r>
            <w:r>
              <w:rPr>
                <w:spacing w:val="-7"/>
                <w:sz w:val="24"/>
                <w:vertAlign w:val="baseline"/>
              </w:rPr>
              <w:t> </w:t>
            </w:r>
            <w:r>
              <w:rPr>
                <w:spacing w:val="-2"/>
                <w:sz w:val="24"/>
                <w:vertAlign w:val="baseline"/>
              </w:rPr>
              <w:t>intranet</w:t>
            </w:r>
          </w:p>
        </w:tc>
      </w:tr>
      <w:tr>
        <w:trPr>
          <w:trHeight w:val="913" w:hRule="atLeast"/>
        </w:trPr>
        <w:tc>
          <w:tcPr>
            <w:tcW w:w="659" w:type="dxa"/>
          </w:tcPr>
          <w:p>
            <w:pPr>
              <w:pStyle w:val="TableParagraph"/>
              <w:rPr>
                <w:rFonts w:ascii="Times New Roman"/>
                <w:sz w:val="22"/>
              </w:rPr>
            </w:pPr>
          </w:p>
        </w:tc>
        <w:tc>
          <w:tcPr>
            <w:tcW w:w="8468" w:type="dxa"/>
          </w:tcPr>
          <w:p>
            <w:pPr>
              <w:pStyle w:val="TableParagraph"/>
              <w:spacing w:before="196"/>
              <w:ind w:left="274"/>
              <w:rPr>
                <w:sz w:val="24"/>
              </w:rPr>
            </w:pPr>
            <w:r>
              <w:rPr>
                <w:sz w:val="24"/>
              </w:rPr>
              <w:t>National</w:t>
            </w:r>
            <w:r>
              <w:rPr>
                <w:spacing w:val="-2"/>
                <w:sz w:val="24"/>
              </w:rPr>
              <w:t> </w:t>
            </w:r>
            <w:r>
              <w:rPr>
                <w:sz w:val="24"/>
              </w:rPr>
              <w:t>Patient Safety</w:t>
            </w:r>
            <w:r>
              <w:rPr>
                <w:spacing w:val="-1"/>
                <w:sz w:val="24"/>
              </w:rPr>
              <w:t> </w:t>
            </w:r>
            <w:r>
              <w:rPr>
                <w:sz w:val="24"/>
              </w:rPr>
              <w:t>Agency</w:t>
            </w:r>
            <w:r>
              <w:rPr>
                <w:spacing w:val="-2"/>
                <w:sz w:val="24"/>
              </w:rPr>
              <w:t> </w:t>
            </w:r>
            <w:r>
              <w:rPr>
                <w:sz w:val="24"/>
              </w:rPr>
              <w:t>(2007). Recognising</w:t>
            </w:r>
            <w:r>
              <w:rPr>
                <w:spacing w:val="-1"/>
                <w:sz w:val="24"/>
              </w:rPr>
              <w:t> </w:t>
            </w:r>
            <w:r>
              <w:rPr>
                <w:sz w:val="24"/>
              </w:rPr>
              <w:t>and responding</w:t>
            </w:r>
            <w:r>
              <w:rPr>
                <w:spacing w:val="-1"/>
                <w:sz w:val="24"/>
              </w:rPr>
              <w:t> </w:t>
            </w:r>
            <w:r>
              <w:rPr>
                <w:sz w:val="24"/>
              </w:rPr>
              <w:t>to early signs of deterioration in hospitalised patients.</w:t>
            </w:r>
          </w:p>
        </w:tc>
      </w:tr>
      <w:tr>
        <w:trPr>
          <w:trHeight w:val="913" w:hRule="atLeast"/>
        </w:trPr>
        <w:tc>
          <w:tcPr>
            <w:tcW w:w="659" w:type="dxa"/>
          </w:tcPr>
          <w:p>
            <w:pPr>
              <w:pStyle w:val="TableParagraph"/>
              <w:rPr>
                <w:rFonts w:ascii="Times New Roman"/>
                <w:sz w:val="22"/>
              </w:rPr>
            </w:pPr>
          </w:p>
        </w:tc>
        <w:tc>
          <w:tcPr>
            <w:tcW w:w="8468" w:type="dxa"/>
          </w:tcPr>
          <w:p>
            <w:pPr>
              <w:pStyle w:val="TableParagraph"/>
              <w:spacing w:before="157"/>
              <w:ind w:left="274"/>
              <w:rPr>
                <w:sz w:val="24"/>
              </w:rPr>
            </w:pPr>
            <w:r>
              <w:rPr>
                <w:sz w:val="24"/>
              </w:rPr>
              <w:t>NCEPOD</w:t>
            </w:r>
            <w:r>
              <w:rPr>
                <w:spacing w:val="-4"/>
                <w:sz w:val="24"/>
              </w:rPr>
              <w:t> </w:t>
            </w:r>
            <w:r>
              <w:rPr>
                <w:sz w:val="24"/>
              </w:rPr>
              <w:t>(2005)</w:t>
            </w:r>
            <w:r>
              <w:rPr>
                <w:spacing w:val="-5"/>
                <w:sz w:val="24"/>
              </w:rPr>
              <w:t> </w:t>
            </w:r>
            <w:r>
              <w:rPr>
                <w:sz w:val="24"/>
              </w:rPr>
              <w:t>An</w:t>
            </w:r>
            <w:r>
              <w:rPr>
                <w:spacing w:val="-6"/>
                <w:sz w:val="24"/>
              </w:rPr>
              <w:t> </w:t>
            </w:r>
            <w:r>
              <w:rPr>
                <w:sz w:val="24"/>
              </w:rPr>
              <w:t>Acute</w:t>
            </w:r>
            <w:r>
              <w:rPr>
                <w:spacing w:val="-4"/>
                <w:sz w:val="24"/>
              </w:rPr>
              <w:t> </w:t>
            </w:r>
            <w:r>
              <w:rPr>
                <w:sz w:val="24"/>
              </w:rPr>
              <w:t>Problem?</w:t>
            </w:r>
            <w:r>
              <w:rPr>
                <w:spacing w:val="-6"/>
                <w:sz w:val="24"/>
              </w:rPr>
              <w:t> </w:t>
            </w:r>
            <w:r>
              <w:rPr>
                <w:sz w:val="24"/>
              </w:rPr>
              <w:t>A</w:t>
            </w:r>
            <w:r>
              <w:rPr>
                <w:spacing w:val="-4"/>
                <w:sz w:val="24"/>
              </w:rPr>
              <w:t> </w:t>
            </w:r>
            <w:r>
              <w:rPr>
                <w:sz w:val="24"/>
              </w:rPr>
              <w:t>report</w:t>
            </w:r>
            <w:r>
              <w:rPr>
                <w:spacing w:val="-4"/>
                <w:sz w:val="24"/>
              </w:rPr>
              <w:t> </w:t>
            </w:r>
            <w:r>
              <w:rPr>
                <w:sz w:val="24"/>
              </w:rPr>
              <w:t>of</w:t>
            </w:r>
            <w:r>
              <w:rPr>
                <w:spacing w:val="-3"/>
                <w:sz w:val="24"/>
              </w:rPr>
              <w:t> </w:t>
            </w:r>
            <w:r>
              <w:rPr>
                <w:sz w:val="24"/>
              </w:rPr>
              <w:t>the</w:t>
            </w:r>
            <w:r>
              <w:rPr>
                <w:spacing w:val="-4"/>
                <w:sz w:val="24"/>
              </w:rPr>
              <w:t> </w:t>
            </w:r>
            <w:r>
              <w:rPr>
                <w:sz w:val="24"/>
              </w:rPr>
              <w:t>National</w:t>
            </w:r>
            <w:r>
              <w:rPr>
                <w:spacing w:val="-4"/>
                <w:sz w:val="24"/>
              </w:rPr>
              <w:t> </w:t>
            </w:r>
            <w:r>
              <w:rPr>
                <w:sz w:val="24"/>
              </w:rPr>
              <w:t>Confidential Enquiry into Patient Outcome and Death.</w:t>
            </w:r>
          </w:p>
        </w:tc>
      </w:tr>
      <w:tr>
        <w:trPr>
          <w:trHeight w:val="911" w:hRule="atLeast"/>
        </w:trPr>
        <w:tc>
          <w:tcPr>
            <w:tcW w:w="659" w:type="dxa"/>
          </w:tcPr>
          <w:p>
            <w:pPr>
              <w:pStyle w:val="TableParagraph"/>
              <w:rPr>
                <w:rFonts w:ascii="Times New Roman"/>
                <w:sz w:val="22"/>
              </w:rPr>
            </w:pPr>
          </w:p>
        </w:tc>
        <w:tc>
          <w:tcPr>
            <w:tcW w:w="8468" w:type="dxa"/>
          </w:tcPr>
          <w:p>
            <w:pPr>
              <w:pStyle w:val="TableParagraph"/>
              <w:spacing w:before="196"/>
              <w:ind w:left="274" w:right="188"/>
              <w:rPr>
                <w:sz w:val="24"/>
              </w:rPr>
            </w:pPr>
            <w:r>
              <w:rPr>
                <w:sz w:val="24"/>
              </w:rPr>
              <w:t>NCEPOD</w:t>
            </w:r>
            <w:r>
              <w:rPr>
                <w:spacing w:val="-3"/>
                <w:sz w:val="24"/>
              </w:rPr>
              <w:t> </w:t>
            </w:r>
            <w:r>
              <w:rPr>
                <w:sz w:val="24"/>
              </w:rPr>
              <w:t>(2009)</w:t>
            </w:r>
            <w:r>
              <w:rPr>
                <w:spacing w:val="-4"/>
                <w:sz w:val="24"/>
              </w:rPr>
              <w:t> </w:t>
            </w:r>
            <w:r>
              <w:rPr>
                <w:sz w:val="24"/>
              </w:rPr>
              <w:t>Caring</w:t>
            </w:r>
            <w:r>
              <w:rPr>
                <w:spacing w:val="-5"/>
                <w:sz w:val="24"/>
              </w:rPr>
              <w:t> </w:t>
            </w:r>
            <w:r>
              <w:rPr>
                <w:sz w:val="24"/>
              </w:rPr>
              <w:t>to</w:t>
            </w:r>
            <w:r>
              <w:rPr>
                <w:spacing w:val="-4"/>
                <w:sz w:val="24"/>
              </w:rPr>
              <w:t> </w:t>
            </w:r>
            <w:r>
              <w:rPr>
                <w:sz w:val="24"/>
              </w:rPr>
              <w:t>the</w:t>
            </w:r>
            <w:r>
              <w:rPr>
                <w:spacing w:val="-5"/>
                <w:sz w:val="24"/>
              </w:rPr>
              <w:t> </w:t>
            </w:r>
            <w:r>
              <w:rPr>
                <w:sz w:val="24"/>
              </w:rPr>
              <w:t>end?</w:t>
            </w:r>
            <w:r>
              <w:rPr>
                <w:spacing w:val="-5"/>
                <w:sz w:val="24"/>
              </w:rPr>
              <w:t> </w:t>
            </w:r>
            <w:r>
              <w:rPr>
                <w:sz w:val="24"/>
              </w:rPr>
              <w:t>A</w:t>
            </w:r>
            <w:r>
              <w:rPr>
                <w:spacing w:val="-3"/>
                <w:sz w:val="24"/>
              </w:rPr>
              <w:t> </w:t>
            </w:r>
            <w:r>
              <w:rPr>
                <w:sz w:val="24"/>
              </w:rPr>
              <w:t>review</w:t>
            </w:r>
            <w:r>
              <w:rPr>
                <w:spacing w:val="-3"/>
                <w:sz w:val="24"/>
              </w:rPr>
              <w:t> </w:t>
            </w:r>
            <w:r>
              <w:rPr>
                <w:sz w:val="24"/>
              </w:rPr>
              <w:t>of</w:t>
            </w:r>
            <w:r>
              <w:rPr>
                <w:spacing w:val="-1"/>
                <w:sz w:val="24"/>
              </w:rPr>
              <w:t> </w:t>
            </w:r>
            <w:r>
              <w:rPr>
                <w:sz w:val="24"/>
              </w:rPr>
              <w:t>the</w:t>
            </w:r>
            <w:r>
              <w:rPr>
                <w:spacing w:val="-3"/>
                <w:sz w:val="24"/>
              </w:rPr>
              <w:t> </w:t>
            </w:r>
            <w:r>
              <w:rPr>
                <w:sz w:val="24"/>
              </w:rPr>
              <w:t>care</w:t>
            </w:r>
            <w:r>
              <w:rPr>
                <w:spacing w:val="-6"/>
                <w:sz w:val="24"/>
              </w:rPr>
              <w:t> </w:t>
            </w:r>
            <w:r>
              <w:rPr>
                <w:sz w:val="24"/>
              </w:rPr>
              <w:t>of</w:t>
            </w:r>
            <w:r>
              <w:rPr>
                <w:spacing w:val="-3"/>
                <w:sz w:val="24"/>
              </w:rPr>
              <w:t> </w:t>
            </w:r>
            <w:r>
              <w:rPr>
                <w:sz w:val="24"/>
              </w:rPr>
              <w:t>patients</w:t>
            </w:r>
            <w:r>
              <w:rPr>
                <w:spacing w:val="-5"/>
                <w:sz w:val="24"/>
              </w:rPr>
              <w:t> </w:t>
            </w:r>
            <w:r>
              <w:rPr>
                <w:sz w:val="24"/>
              </w:rPr>
              <w:t>who died in hospital within four days of admission</w:t>
            </w:r>
          </w:p>
        </w:tc>
      </w:tr>
      <w:tr>
        <w:trPr>
          <w:trHeight w:val="830" w:hRule="atLeast"/>
        </w:trPr>
        <w:tc>
          <w:tcPr>
            <w:tcW w:w="659" w:type="dxa"/>
          </w:tcPr>
          <w:p>
            <w:pPr>
              <w:pStyle w:val="TableParagraph"/>
              <w:rPr>
                <w:rFonts w:ascii="Times New Roman"/>
                <w:sz w:val="22"/>
              </w:rPr>
            </w:pPr>
          </w:p>
        </w:tc>
        <w:tc>
          <w:tcPr>
            <w:tcW w:w="8468" w:type="dxa"/>
          </w:tcPr>
          <w:p>
            <w:pPr>
              <w:pStyle w:val="TableParagraph"/>
              <w:spacing w:before="154"/>
              <w:ind w:left="274"/>
              <w:rPr>
                <w:sz w:val="24"/>
              </w:rPr>
            </w:pPr>
            <w:r>
              <w:rPr>
                <w:sz w:val="24"/>
              </w:rPr>
              <w:t>NICE (2007) Acutely Ill Patients in Hospital: Recognition of and response to acute illness in adults in hospital. NICE guideline 50</w:t>
            </w:r>
          </w:p>
        </w:tc>
      </w:tr>
      <w:tr>
        <w:trPr>
          <w:trHeight w:val="1067" w:hRule="atLeast"/>
        </w:trPr>
        <w:tc>
          <w:tcPr>
            <w:tcW w:w="659" w:type="dxa"/>
          </w:tcPr>
          <w:p>
            <w:pPr>
              <w:pStyle w:val="TableParagraph"/>
              <w:rPr>
                <w:rFonts w:ascii="Times New Roman"/>
                <w:sz w:val="22"/>
              </w:rPr>
            </w:pPr>
          </w:p>
        </w:tc>
        <w:tc>
          <w:tcPr>
            <w:tcW w:w="8468" w:type="dxa"/>
          </w:tcPr>
          <w:p>
            <w:pPr>
              <w:pStyle w:val="TableParagraph"/>
              <w:spacing w:before="116"/>
              <w:ind w:left="274" w:right="50"/>
              <w:jc w:val="both"/>
              <w:rPr>
                <w:sz w:val="24"/>
              </w:rPr>
            </w:pPr>
            <w:r>
              <w:rPr>
                <w:sz w:val="24"/>
              </w:rPr>
              <w:t>NICE</w:t>
            </w:r>
            <w:r>
              <w:rPr>
                <w:sz w:val="24"/>
              </w:rPr>
              <w:t> (2007)</w:t>
            </w:r>
            <w:r>
              <w:rPr>
                <w:sz w:val="24"/>
              </w:rPr>
              <w:t> Head</w:t>
            </w:r>
            <w:r>
              <w:rPr>
                <w:sz w:val="24"/>
              </w:rPr>
              <w:t> Injury – triage, assessment, investigation and early management of head injury in infants, children and adults. NICE guideline</w:t>
            </w:r>
            <w:r>
              <w:rPr>
                <w:spacing w:val="80"/>
                <w:sz w:val="24"/>
              </w:rPr>
              <w:t> </w:t>
            </w:r>
            <w:r>
              <w:rPr>
                <w:spacing w:val="-6"/>
                <w:sz w:val="24"/>
              </w:rPr>
              <w:t>56</w:t>
            </w:r>
          </w:p>
        </w:tc>
      </w:tr>
      <w:tr>
        <w:trPr>
          <w:trHeight w:val="516" w:hRule="atLeast"/>
        </w:trPr>
        <w:tc>
          <w:tcPr>
            <w:tcW w:w="659" w:type="dxa"/>
          </w:tcPr>
          <w:p>
            <w:pPr>
              <w:pStyle w:val="TableParagraph"/>
              <w:rPr>
                <w:rFonts w:ascii="Times New Roman"/>
                <w:sz w:val="22"/>
              </w:rPr>
            </w:pPr>
          </w:p>
        </w:tc>
        <w:tc>
          <w:tcPr>
            <w:tcW w:w="8468" w:type="dxa"/>
          </w:tcPr>
          <w:p>
            <w:pPr>
              <w:pStyle w:val="TableParagraph"/>
              <w:spacing w:before="116"/>
              <w:ind w:left="274"/>
              <w:rPr>
                <w:sz w:val="24"/>
              </w:rPr>
            </w:pPr>
            <w:r>
              <w:rPr>
                <w:sz w:val="24"/>
              </w:rPr>
              <w:t>NMC</w:t>
            </w:r>
            <w:r>
              <w:rPr>
                <w:spacing w:val="-5"/>
                <w:sz w:val="24"/>
              </w:rPr>
              <w:t> </w:t>
            </w:r>
            <w:r>
              <w:rPr>
                <w:sz w:val="24"/>
              </w:rPr>
              <w:t>(2002)</w:t>
            </w:r>
            <w:r>
              <w:rPr>
                <w:spacing w:val="-5"/>
                <w:sz w:val="24"/>
              </w:rPr>
              <w:t> </w:t>
            </w:r>
            <w:r>
              <w:rPr>
                <w:sz w:val="24"/>
              </w:rPr>
              <w:t>Guidelines</w:t>
            </w:r>
            <w:r>
              <w:rPr>
                <w:spacing w:val="-5"/>
                <w:sz w:val="24"/>
              </w:rPr>
              <w:t> </w:t>
            </w:r>
            <w:r>
              <w:rPr>
                <w:sz w:val="24"/>
              </w:rPr>
              <w:t>for</w:t>
            </w:r>
            <w:r>
              <w:rPr>
                <w:spacing w:val="-5"/>
                <w:sz w:val="24"/>
              </w:rPr>
              <w:t> </w:t>
            </w:r>
            <w:r>
              <w:rPr>
                <w:sz w:val="24"/>
              </w:rPr>
              <w:t>records</w:t>
            </w:r>
            <w:r>
              <w:rPr>
                <w:spacing w:val="-6"/>
                <w:sz w:val="24"/>
              </w:rPr>
              <w:t> </w:t>
            </w:r>
            <w:r>
              <w:rPr>
                <w:sz w:val="24"/>
              </w:rPr>
              <w:t>and</w:t>
            </w:r>
            <w:r>
              <w:rPr>
                <w:spacing w:val="-5"/>
                <w:sz w:val="24"/>
              </w:rPr>
              <w:t> </w:t>
            </w:r>
            <w:r>
              <w:rPr>
                <w:sz w:val="24"/>
              </w:rPr>
              <w:t>record</w:t>
            </w:r>
            <w:r>
              <w:rPr>
                <w:spacing w:val="-5"/>
                <w:sz w:val="24"/>
              </w:rPr>
              <w:t> </w:t>
            </w:r>
            <w:r>
              <w:rPr>
                <w:spacing w:val="-2"/>
                <w:sz w:val="24"/>
              </w:rPr>
              <w:t>keeping</w:t>
            </w:r>
          </w:p>
        </w:tc>
      </w:tr>
      <w:tr>
        <w:trPr>
          <w:trHeight w:val="792" w:hRule="atLeast"/>
        </w:trPr>
        <w:tc>
          <w:tcPr>
            <w:tcW w:w="659" w:type="dxa"/>
          </w:tcPr>
          <w:p>
            <w:pPr>
              <w:pStyle w:val="TableParagraph"/>
              <w:rPr>
                <w:rFonts w:ascii="Times New Roman"/>
                <w:sz w:val="22"/>
              </w:rPr>
            </w:pPr>
          </w:p>
        </w:tc>
        <w:tc>
          <w:tcPr>
            <w:tcW w:w="8468" w:type="dxa"/>
          </w:tcPr>
          <w:p>
            <w:pPr>
              <w:pStyle w:val="TableParagraph"/>
              <w:spacing w:before="116"/>
              <w:ind w:left="274"/>
              <w:rPr>
                <w:sz w:val="24"/>
              </w:rPr>
            </w:pPr>
            <w:r>
              <w:rPr>
                <w:sz w:val="24"/>
              </w:rPr>
              <w:t>NPSA</w:t>
            </w:r>
            <w:r>
              <w:rPr>
                <w:spacing w:val="40"/>
                <w:sz w:val="24"/>
              </w:rPr>
              <w:t> </w:t>
            </w:r>
            <w:r>
              <w:rPr>
                <w:sz w:val="24"/>
              </w:rPr>
              <w:t>(2007)</w:t>
            </w:r>
            <w:r>
              <w:rPr>
                <w:spacing w:val="37"/>
                <w:sz w:val="24"/>
              </w:rPr>
              <w:t> </w:t>
            </w:r>
            <w:r>
              <w:rPr>
                <w:sz w:val="24"/>
              </w:rPr>
              <w:t>Safer</w:t>
            </w:r>
            <w:r>
              <w:rPr>
                <w:spacing w:val="40"/>
                <w:sz w:val="24"/>
              </w:rPr>
              <w:t> </w:t>
            </w:r>
            <w:r>
              <w:rPr>
                <w:sz w:val="24"/>
              </w:rPr>
              <w:t>Care</w:t>
            </w:r>
            <w:r>
              <w:rPr>
                <w:spacing w:val="38"/>
                <w:sz w:val="24"/>
              </w:rPr>
              <w:t> </w:t>
            </w:r>
            <w:r>
              <w:rPr>
                <w:sz w:val="24"/>
              </w:rPr>
              <w:t>for</w:t>
            </w:r>
            <w:r>
              <w:rPr>
                <w:spacing w:val="37"/>
                <w:sz w:val="24"/>
              </w:rPr>
              <w:t> </w:t>
            </w:r>
            <w:r>
              <w:rPr>
                <w:sz w:val="24"/>
              </w:rPr>
              <w:t>the</w:t>
            </w:r>
            <w:r>
              <w:rPr>
                <w:spacing w:val="39"/>
                <w:sz w:val="24"/>
              </w:rPr>
              <w:t> </w:t>
            </w:r>
            <w:r>
              <w:rPr>
                <w:sz w:val="24"/>
              </w:rPr>
              <w:t>Acutely</w:t>
            </w:r>
            <w:r>
              <w:rPr>
                <w:spacing w:val="37"/>
                <w:sz w:val="24"/>
              </w:rPr>
              <w:t> </w:t>
            </w:r>
            <w:r>
              <w:rPr>
                <w:sz w:val="24"/>
              </w:rPr>
              <w:t>Ill</w:t>
            </w:r>
            <w:r>
              <w:rPr>
                <w:spacing w:val="40"/>
                <w:sz w:val="24"/>
              </w:rPr>
              <w:t> </w:t>
            </w:r>
            <w:r>
              <w:rPr>
                <w:sz w:val="24"/>
              </w:rPr>
              <w:t>Patient:</w:t>
            </w:r>
            <w:r>
              <w:rPr>
                <w:spacing w:val="39"/>
                <w:sz w:val="24"/>
              </w:rPr>
              <w:t> </w:t>
            </w:r>
            <w:r>
              <w:rPr>
                <w:sz w:val="24"/>
              </w:rPr>
              <w:t>learning</w:t>
            </w:r>
            <w:r>
              <w:rPr>
                <w:spacing w:val="37"/>
                <w:sz w:val="24"/>
              </w:rPr>
              <w:t> </w:t>
            </w:r>
            <w:r>
              <w:rPr>
                <w:sz w:val="24"/>
              </w:rPr>
              <w:t>from</w:t>
            </w:r>
            <w:r>
              <w:rPr>
                <w:spacing w:val="40"/>
                <w:sz w:val="24"/>
              </w:rPr>
              <w:t> </w:t>
            </w:r>
            <w:r>
              <w:rPr>
                <w:sz w:val="24"/>
              </w:rPr>
              <w:t>serious </w:t>
            </w:r>
            <w:r>
              <w:rPr>
                <w:spacing w:val="-2"/>
                <w:sz w:val="24"/>
              </w:rPr>
              <w:t>incidents</w:t>
            </w:r>
          </w:p>
        </w:tc>
      </w:tr>
      <w:tr>
        <w:trPr>
          <w:trHeight w:val="791" w:hRule="atLeast"/>
        </w:trPr>
        <w:tc>
          <w:tcPr>
            <w:tcW w:w="659" w:type="dxa"/>
          </w:tcPr>
          <w:p>
            <w:pPr>
              <w:pStyle w:val="TableParagraph"/>
              <w:rPr>
                <w:rFonts w:ascii="Times New Roman"/>
                <w:sz w:val="22"/>
              </w:rPr>
            </w:pPr>
          </w:p>
        </w:tc>
        <w:tc>
          <w:tcPr>
            <w:tcW w:w="8468" w:type="dxa"/>
          </w:tcPr>
          <w:p>
            <w:pPr>
              <w:pStyle w:val="TableParagraph"/>
              <w:spacing w:before="116"/>
              <w:ind w:left="274"/>
              <w:rPr>
                <w:sz w:val="24"/>
              </w:rPr>
            </w:pPr>
            <w:r>
              <w:rPr>
                <w:sz w:val="24"/>
              </w:rPr>
              <w:t>O’Driscoll et al (2008)</w:t>
            </w:r>
            <w:r>
              <w:rPr>
                <w:spacing w:val="-1"/>
                <w:sz w:val="24"/>
              </w:rPr>
              <w:t> </w:t>
            </w:r>
            <w:r>
              <w:rPr>
                <w:sz w:val="24"/>
              </w:rPr>
              <w:t>Guideline</w:t>
            </w:r>
            <w:r>
              <w:rPr>
                <w:spacing w:val="-2"/>
                <w:sz w:val="24"/>
              </w:rPr>
              <w:t> </w:t>
            </w:r>
            <w:r>
              <w:rPr>
                <w:sz w:val="24"/>
              </w:rPr>
              <w:t>for</w:t>
            </w:r>
            <w:r>
              <w:rPr>
                <w:spacing w:val="-1"/>
                <w:sz w:val="24"/>
              </w:rPr>
              <w:t> </w:t>
            </w:r>
            <w:r>
              <w:rPr>
                <w:sz w:val="24"/>
              </w:rPr>
              <w:t>emergency</w:t>
            </w:r>
            <w:r>
              <w:rPr>
                <w:spacing w:val="-2"/>
                <w:sz w:val="24"/>
              </w:rPr>
              <w:t> </w:t>
            </w:r>
            <w:r>
              <w:rPr>
                <w:sz w:val="24"/>
              </w:rPr>
              <w:t>oxygen use in adult</w:t>
            </w:r>
            <w:r>
              <w:rPr>
                <w:spacing w:val="-2"/>
                <w:sz w:val="24"/>
              </w:rPr>
              <w:t> </w:t>
            </w:r>
            <w:r>
              <w:rPr>
                <w:sz w:val="24"/>
              </w:rPr>
              <w:t>patients. British Thoracic Society</w:t>
            </w:r>
          </w:p>
        </w:tc>
      </w:tr>
      <w:tr>
        <w:trPr>
          <w:trHeight w:val="516" w:hRule="atLeast"/>
        </w:trPr>
        <w:tc>
          <w:tcPr>
            <w:tcW w:w="659" w:type="dxa"/>
          </w:tcPr>
          <w:p>
            <w:pPr>
              <w:pStyle w:val="TableParagraph"/>
              <w:rPr>
                <w:rFonts w:ascii="Times New Roman"/>
                <w:sz w:val="22"/>
              </w:rPr>
            </w:pPr>
          </w:p>
        </w:tc>
        <w:tc>
          <w:tcPr>
            <w:tcW w:w="8468" w:type="dxa"/>
          </w:tcPr>
          <w:p>
            <w:pPr>
              <w:pStyle w:val="TableParagraph"/>
              <w:spacing w:before="116"/>
              <w:ind w:left="274"/>
              <w:rPr>
                <w:sz w:val="24"/>
              </w:rPr>
            </w:pPr>
            <w:r>
              <w:rPr>
                <w:sz w:val="24"/>
              </w:rPr>
              <w:t>Patient</w:t>
            </w:r>
            <w:r>
              <w:rPr>
                <w:spacing w:val="-5"/>
                <w:sz w:val="24"/>
              </w:rPr>
              <w:t> </w:t>
            </w:r>
            <w:r>
              <w:rPr>
                <w:sz w:val="24"/>
              </w:rPr>
              <w:t>Safety</w:t>
            </w:r>
            <w:r>
              <w:rPr>
                <w:spacing w:val="-7"/>
                <w:sz w:val="24"/>
              </w:rPr>
              <w:t> </w:t>
            </w:r>
            <w:r>
              <w:rPr>
                <w:sz w:val="24"/>
              </w:rPr>
              <w:t>First</w:t>
            </w:r>
            <w:r>
              <w:rPr>
                <w:spacing w:val="-5"/>
                <w:sz w:val="24"/>
              </w:rPr>
              <w:t> </w:t>
            </w:r>
            <w:r>
              <w:rPr>
                <w:sz w:val="24"/>
              </w:rPr>
              <w:t>Campaign</w:t>
            </w:r>
            <w:r>
              <w:rPr>
                <w:spacing w:val="-5"/>
                <w:sz w:val="24"/>
              </w:rPr>
              <w:t> </w:t>
            </w:r>
            <w:r>
              <w:rPr>
                <w:sz w:val="24"/>
              </w:rPr>
              <w:t>(2008)</w:t>
            </w:r>
            <w:r>
              <w:rPr>
                <w:spacing w:val="-2"/>
                <w:sz w:val="24"/>
              </w:rPr>
              <w:t> </w:t>
            </w:r>
            <w:hyperlink r:id="rId19">
              <w:r>
                <w:rPr>
                  <w:color w:val="0000FF"/>
                  <w:spacing w:val="-2"/>
                  <w:sz w:val="24"/>
                  <w:u w:val="single" w:color="0000FF"/>
                </w:rPr>
                <w:t>www.patientsafetyfirst.nhs.uk</w:t>
              </w:r>
            </w:hyperlink>
          </w:p>
        </w:tc>
      </w:tr>
      <w:tr>
        <w:trPr>
          <w:trHeight w:val="516" w:hRule="atLeast"/>
        </w:trPr>
        <w:tc>
          <w:tcPr>
            <w:tcW w:w="659" w:type="dxa"/>
          </w:tcPr>
          <w:p>
            <w:pPr>
              <w:pStyle w:val="TableParagraph"/>
              <w:rPr>
                <w:rFonts w:ascii="Times New Roman"/>
                <w:sz w:val="22"/>
              </w:rPr>
            </w:pPr>
          </w:p>
        </w:tc>
        <w:tc>
          <w:tcPr>
            <w:tcW w:w="8468" w:type="dxa"/>
          </w:tcPr>
          <w:p>
            <w:pPr>
              <w:pStyle w:val="TableParagraph"/>
              <w:spacing w:before="116"/>
              <w:ind w:left="274"/>
              <w:rPr>
                <w:sz w:val="24"/>
              </w:rPr>
            </w:pPr>
            <w:r>
              <w:rPr>
                <w:sz w:val="24"/>
              </w:rPr>
              <w:t>Survive</w:t>
            </w:r>
            <w:r>
              <w:rPr>
                <w:spacing w:val="-4"/>
                <w:sz w:val="24"/>
              </w:rPr>
              <w:t> </w:t>
            </w:r>
            <w:r>
              <w:rPr>
                <w:sz w:val="24"/>
              </w:rPr>
              <w:t>Sepsis</w:t>
            </w:r>
            <w:r>
              <w:rPr>
                <w:spacing w:val="-4"/>
                <w:sz w:val="24"/>
              </w:rPr>
              <w:t> </w:t>
            </w:r>
            <w:r>
              <w:rPr>
                <w:sz w:val="24"/>
              </w:rPr>
              <w:t>Campaign</w:t>
            </w:r>
            <w:r>
              <w:rPr>
                <w:spacing w:val="61"/>
                <w:sz w:val="24"/>
              </w:rPr>
              <w:t> </w:t>
            </w:r>
            <w:hyperlink r:id="rId20">
              <w:r>
                <w:rPr>
                  <w:color w:val="0000FF"/>
                  <w:spacing w:val="-2"/>
                  <w:sz w:val="24"/>
                  <w:u w:val="single" w:color="0000FF"/>
                </w:rPr>
                <w:t>www.survivingsepsis.org</w:t>
              </w:r>
            </w:hyperlink>
          </w:p>
        </w:tc>
      </w:tr>
      <w:tr>
        <w:trPr>
          <w:trHeight w:val="668" w:hRule="atLeast"/>
        </w:trPr>
        <w:tc>
          <w:tcPr>
            <w:tcW w:w="659" w:type="dxa"/>
          </w:tcPr>
          <w:p>
            <w:pPr>
              <w:pStyle w:val="TableParagraph"/>
              <w:rPr>
                <w:rFonts w:ascii="Times New Roman"/>
                <w:sz w:val="22"/>
              </w:rPr>
            </w:pPr>
          </w:p>
        </w:tc>
        <w:tc>
          <w:tcPr>
            <w:tcW w:w="8468" w:type="dxa"/>
          </w:tcPr>
          <w:p>
            <w:pPr>
              <w:pStyle w:val="TableParagraph"/>
              <w:spacing w:line="270" w:lineRule="atLeast" w:before="96"/>
              <w:ind w:left="274"/>
              <w:rPr>
                <w:sz w:val="24"/>
              </w:rPr>
            </w:pPr>
            <w:r>
              <w:rPr>
                <w:sz w:val="24"/>
              </w:rPr>
              <w:t>UHSM</w:t>
            </w:r>
            <w:r>
              <w:rPr>
                <w:spacing w:val="-5"/>
                <w:sz w:val="24"/>
              </w:rPr>
              <w:t> </w:t>
            </w:r>
            <w:r>
              <w:rPr>
                <w:sz w:val="24"/>
              </w:rPr>
              <w:t>(2008)</w:t>
            </w:r>
            <w:r>
              <w:rPr>
                <w:spacing w:val="-4"/>
                <w:sz w:val="24"/>
              </w:rPr>
              <w:t> </w:t>
            </w:r>
            <w:r>
              <w:rPr>
                <w:sz w:val="24"/>
              </w:rPr>
              <w:t>Oxygen</w:t>
            </w:r>
            <w:r>
              <w:rPr>
                <w:spacing w:val="-4"/>
                <w:sz w:val="24"/>
              </w:rPr>
              <w:t> </w:t>
            </w:r>
            <w:r>
              <w:rPr>
                <w:sz w:val="24"/>
              </w:rPr>
              <w:t>Prescribing</w:t>
            </w:r>
            <w:r>
              <w:rPr>
                <w:spacing w:val="-5"/>
                <w:sz w:val="24"/>
              </w:rPr>
              <w:t> </w:t>
            </w:r>
            <w:r>
              <w:rPr>
                <w:sz w:val="24"/>
              </w:rPr>
              <w:t>and</w:t>
            </w:r>
            <w:r>
              <w:rPr>
                <w:spacing w:val="-4"/>
                <w:sz w:val="24"/>
              </w:rPr>
              <w:t> </w:t>
            </w:r>
            <w:r>
              <w:rPr>
                <w:sz w:val="24"/>
              </w:rPr>
              <w:t>Administration</w:t>
            </w:r>
            <w:r>
              <w:rPr>
                <w:spacing w:val="-3"/>
                <w:sz w:val="24"/>
              </w:rPr>
              <w:t> </w:t>
            </w:r>
            <w:r>
              <w:rPr>
                <w:sz w:val="24"/>
              </w:rPr>
              <w:t>Policy</w:t>
            </w:r>
            <w:r>
              <w:rPr>
                <w:spacing w:val="-7"/>
                <w:sz w:val="24"/>
              </w:rPr>
              <w:t> </w:t>
            </w:r>
            <w:r>
              <w:rPr>
                <w:sz w:val="24"/>
              </w:rPr>
              <w:t>(Appendix</w:t>
            </w:r>
            <w:r>
              <w:rPr>
                <w:spacing w:val="-7"/>
                <w:sz w:val="24"/>
              </w:rPr>
              <w:t> </w:t>
            </w:r>
            <w:r>
              <w:rPr>
                <w:sz w:val="24"/>
              </w:rPr>
              <w:t>15</w:t>
            </w:r>
            <w:r>
              <w:rPr>
                <w:spacing w:val="-4"/>
                <w:sz w:val="24"/>
              </w:rPr>
              <w:t> </w:t>
            </w:r>
            <w:r>
              <w:rPr>
                <w:sz w:val="24"/>
              </w:rPr>
              <w:t>of Medicines Management Policy)</w:t>
            </w:r>
          </w:p>
        </w:tc>
      </w:tr>
    </w:tbl>
    <w:p>
      <w:pPr>
        <w:pStyle w:val="TableParagraph"/>
        <w:spacing w:after="0" w:line="270" w:lineRule="atLeast"/>
        <w:rPr>
          <w:sz w:val="24"/>
        </w:rPr>
        <w:sectPr>
          <w:pgSz w:w="11910" w:h="16840"/>
          <w:pgMar w:header="0" w:footer="955" w:top="680" w:bottom="1140" w:left="425" w:right="566"/>
        </w:sectPr>
      </w:pPr>
    </w:p>
    <w:p>
      <w:pPr>
        <w:pStyle w:val="BodyText"/>
        <w:spacing w:before="2"/>
        <w:rPr>
          <w:rFonts w:ascii="Arial"/>
          <w:b/>
          <w:sz w:val="2"/>
        </w:rPr>
      </w:pPr>
    </w:p>
    <w:tbl>
      <w:tblPr>
        <w:tblW w:w="0" w:type="auto"/>
        <w:jc w:val="left"/>
        <w:tblInd w:w="1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20"/>
      </w:tblGrid>
      <w:tr>
        <w:trPr>
          <w:trHeight w:val="332" w:hRule="atLeast"/>
        </w:trPr>
        <w:tc>
          <w:tcPr>
            <w:tcW w:w="8220" w:type="dxa"/>
          </w:tcPr>
          <w:p>
            <w:pPr>
              <w:pStyle w:val="TableParagraph"/>
              <w:spacing w:line="268" w:lineRule="exact"/>
              <w:ind w:left="50"/>
              <w:rPr>
                <w:sz w:val="24"/>
              </w:rPr>
            </w:pPr>
            <w:r>
              <w:rPr>
                <w:sz w:val="24"/>
              </w:rPr>
              <w:t>UHSM</w:t>
            </w:r>
            <w:r>
              <w:rPr>
                <w:spacing w:val="-6"/>
                <w:sz w:val="24"/>
              </w:rPr>
              <w:t> </w:t>
            </w:r>
            <w:r>
              <w:rPr>
                <w:sz w:val="24"/>
              </w:rPr>
              <w:t>(2010)</w:t>
            </w:r>
            <w:r>
              <w:rPr>
                <w:spacing w:val="-5"/>
                <w:sz w:val="24"/>
              </w:rPr>
              <w:t> </w:t>
            </w:r>
            <w:r>
              <w:rPr>
                <w:sz w:val="24"/>
              </w:rPr>
              <w:t>MEWS</w:t>
            </w:r>
            <w:r>
              <w:rPr>
                <w:spacing w:val="-9"/>
                <w:sz w:val="24"/>
              </w:rPr>
              <w:t> </w:t>
            </w:r>
            <w:r>
              <w:rPr>
                <w:sz w:val="24"/>
              </w:rPr>
              <w:t>Escalation</w:t>
            </w:r>
            <w:r>
              <w:rPr>
                <w:spacing w:val="-4"/>
                <w:sz w:val="24"/>
              </w:rPr>
              <w:t> </w:t>
            </w:r>
            <w:r>
              <w:rPr>
                <w:spacing w:val="-2"/>
                <w:sz w:val="24"/>
              </w:rPr>
              <w:t>Policy.</w:t>
            </w:r>
          </w:p>
        </w:tc>
      </w:tr>
      <w:tr>
        <w:trPr>
          <w:trHeight w:val="14192" w:hRule="atLeast"/>
        </w:trPr>
        <w:tc>
          <w:tcPr>
            <w:tcW w:w="8220" w:type="dxa"/>
          </w:tcPr>
          <w:p>
            <w:pPr>
              <w:pStyle w:val="TableParagraph"/>
              <w:spacing w:before="56"/>
              <w:ind w:left="50"/>
              <w:rPr>
                <w:sz w:val="24"/>
              </w:rPr>
            </w:pPr>
            <w:r>
              <w:rPr>
                <w:sz w:val="24"/>
              </w:rPr>
              <w:t>Andrews,</w:t>
            </w:r>
            <w:r>
              <w:rPr>
                <w:spacing w:val="-3"/>
                <w:sz w:val="24"/>
              </w:rPr>
              <w:t> </w:t>
            </w:r>
            <w:r>
              <w:rPr>
                <w:sz w:val="24"/>
              </w:rPr>
              <w:t>T.,</w:t>
            </w:r>
            <w:r>
              <w:rPr>
                <w:spacing w:val="-7"/>
                <w:sz w:val="24"/>
              </w:rPr>
              <w:t> </w:t>
            </w:r>
            <w:r>
              <w:rPr>
                <w:sz w:val="24"/>
              </w:rPr>
              <w:t>Waterman,</w:t>
            </w:r>
            <w:r>
              <w:rPr>
                <w:spacing w:val="-3"/>
                <w:sz w:val="24"/>
              </w:rPr>
              <w:t> </w:t>
            </w:r>
            <w:r>
              <w:rPr>
                <w:sz w:val="24"/>
              </w:rPr>
              <w:t>H. (2005)</w:t>
            </w:r>
            <w:r>
              <w:rPr>
                <w:spacing w:val="-4"/>
                <w:sz w:val="24"/>
              </w:rPr>
              <w:t> </w:t>
            </w:r>
            <w:r>
              <w:rPr>
                <w:sz w:val="24"/>
              </w:rPr>
              <w:t>Packaging:</w:t>
            </w:r>
            <w:r>
              <w:rPr>
                <w:spacing w:val="-3"/>
                <w:sz w:val="24"/>
              </w:rPr>
              <w:t> </w:t>
            </w:r>
            <w:r>
              <w:rPr>
                <w:sz w:val="24"/>
              </w:rPr>
              <w:t>a</w:t>
            </w:r>
            <w:r>
              <w:rPr>
                <w:spacing w:val="-3"/>
                <w:sz w:val="24"/>
              </w:rPr>
              <w:t> </w:t>
            </w:r>
            <w:r>
              <w:rPr>
                <w:sz w:val="24"/>
              </w:rPr>
              <w:t>grounded</w:t>
            </w:r>
            <w:r>
              <w:rPr>
                <w:spacing w:val="-5"/>
                <w:sz w:val="24"/>
              </w:rPr>
              <w:t> </w:t>
            </w:r>
            <w:r>
              <w:rPr>
                <w:sz w:val="24"/>
              </w:rPr>
              <w:t>theory</w:t>
            </w:r>
            <w:r>
              <w:rPr>
                <w:spacing w:val="-7"/>
                <w:sz w:val="24"/>
              </w:rPr>
              <w:t> </w:t>
            </w:r>
            <w:r>
              <w:rPr>
                <w:sz w:val="24"/>
              </w:rPr>
              <w:t>of</w:t>
            </w:r>
            <w:r>
              <w:rPr>
                <w:spacing w:val="-5"/>
                <w:sz w:val="24"/>
              </w:rPr>
              <w:t> </w:t>
            </w:r>
            <w:r>
              <w:rPr>
                <w:sz w:val="24"/>
              </w:rPr>
              <w:t>how</w:t>
            </w:r>
            <w:r>
              <w:rPr>
                <w:spacing w:val="-6"/>
                <w:sz w:val="24"/>
              </w:rPr>
              <w:t> </w:t>
            </w:r>
            <w:r>
              <w:rPr>
                <w:sz w:val="24"/>
              </w:rPr>
              <w:t>to report physiological deterioration effectively. Journal of Advanced Nursing; 52: 5, 473-481.</w:t>
            </w:r>
          </w:p>
          <w:p>
            <w:pPr>
              <w:pStyle w:val="TableParagraph"/>
              <w:spacing w:before="2"/>
              <w:rPr>
                <w:rFonts w:ascii="Arial"/>
                <w:b/>
                <w:sz w:val="24"/>
              </w:rPr>
            </w:pPr>
          </w:p>
          <w:p>
            <w:pPr>
              <w:pStyle w:val="TableParagraph"/>
              <w:spacing w:before="1"/>
              <w:ind w:left="50"/>
              <w:rPr>
                <w:sz w:val="24"/>
              </w:rPr>
            </w:pPr>
            <w:r>
              <w:rPr>
                <w:sz w:val="24"/>
              </w:rPr>
              <w:t>Buist, M.D. et al (1999) Recognising clinical instability in hospital patients before</w:t>
            </w:r>
            <w:r>
              <w:rPr>
                <w:spacing w:val="-7"/>
                <w:sz w:val="24"/>
              </w:rPr>
              <w:t> </w:t>
            </w:r>
            <w:r>
              <w:rPr>
                <w:sz w:val="24"/>
              </w:rPr>
              <w:t>cardiac</w:t>
            </w:r>
            <w:r>
              <w:rPr>
                <w:spacing w:val="-6"/>
                <w:sz w:val="24"/>
              </w:rPr>
              <w:t> </w:t>
            </w:r>
            <w:r>
              <w:rPr>
                <w:sz w:val="24"/>
              </w:rPr>
              <w:t>arrest</w:t>
            </w:r>
            <w:r>
              <w:rPr>
                <w:spacing w:val="-4"/>
                <w:sz w:val="24"/>
              </w:rPr>
              <w:t> </w:t>
            </w:r>
            <w:r>
              <w:rPr>
                <w:sz w:val="24"/>
              </w:rPr>
              <w:t>or</w:t>
            </w:r>
            <w:r>
              <w:rPr>
                <w:spacing w:val="-4"/>
                <w:sz w:val="24"/>
              </w:rPr>
              <w:t> </w:t>
            </w:r>
            <w:r>
              <w:rPr>
                <w:sz w:val="24"/>
              </w:rPr>
              <w:t>unplanned</w:t>
            </w:r>
            <w:r>
              <w:rPr>
                <w:spacing w:val="-4"/>
                <w:sz w:val="24"/>
              </w:rPr>
              <w:t> </w:t>
            </w:r>
            <w:r>
              <w:rPr>
                <w:sz w:val="24"/>
              </w:rPr>
              <w:t>admission</w:t>
            </w:r>
            <w:r>
              <w:rPr>
                <w:spacing w:val="-6"/>
                <w:sz w:val="24"/>
              </w:rPr>
              <w:t> </w:t>
            </w:r>
            <w:r>
              <w:rPr>
                <w:sz w:val="24"/>
              </w:rPr>
              <w:t>to</w:t>
            </w:r>
            <w:r>
              <w:rPr>
                <w:spacing w:val="-4"/>
                <w:sz w:val="24"/>
              </w:rPr>
              <w:t> </w:t>
            </w:r>
            <w:r>
              <w:rPr>
                <w:sz w:val="24"/>
              </w:rPr>
              <w:t>intensive</w:t>
            </w:r>
            <w:r>
              <w:rPr>
                <w:spacing w:val="-4"/>
                <w:sz w:val="24"/>
              </w:rPr>
              <w:t> </w:t>
            </w:r>
            <w:r>
              <w:rPr>
                <w:sz w:val="24"/>
              </w:rPr>
              <w:t>care.</w:t>
            </w:r>
            <w:r>
              <w:rPr>
                <w:spacing w:val="-5"/>
                <w:sz w:val="24"/>
              </w:rPr>
              <w:t> </w:t>
            </w:r>
            <w:r>
              <w:rPr>
                <w:sz w:val="24"/>
              </w:rPr>
              <w:t>A</w:t>
            </w:r>
            <w:r>
              <w:rPr>
                <w:spacing w:val="-3"/>
                <w:sz w:val="24"/>
              </w:rPr>
              <w:t> </w:t>
            </w:r>
            <w:r>
              <w:rPr>
                <w:sz w:val="24"/>
              </w:rPr>
              <w:t>pilot</w:t>
            </w:r>
            <w:r>
              <w:rPr>
                <w:spacing w:val="-3"/>
                <w:sz w:val="24"/>
              </w:rPr>
              <w:t> </w:t>
            </w:r>
            <w:r>
              <w:rPr>
                <w:sz w:val="24"/>
              </w:rPr>
              <w:t>study in a tertiary-care hospital. The Medical Journal of Australia; 171: 1, 8-9.</w:t>
            </w:r>
          </w:p>
          <w:p>
            <w:pPr>
              <w:pStyle w:val="TableParagraph"/>
              <w:spacing w:before="4"/>
              <w:rPr>
                <w:rFonts w:ascii="Arial"/>
                <w:b/>
                <w:sz w:val="24"/>
              </w:rPr>
            </w:pPr>
          </w:p>
          <w:p>
            <w:pPr>
              <w:pStyle w:val="TableParagraph"/>
              <w:spacing w:before="1"/>
              <w:ind w:left="50"/>
              <w:rPr>
                <w:sz w:val="24"/>
              </w:rPr>
            </w:pPr>
            <w:r>
              <w:rPr>
                <w:sz w:val="24"/>
              </w:rPr>
              <w:t>Butler-Williams,</w:t>
            </w:r>
            <w:r>
              <w:rPr>
                <w:spacing w:val="-6"/>
                <w:sz w:val="24"/>
              </w:rPr>
              <w:t> </w:t>
            </w:r>
            <w:r>
              <w:rPr>
                <w:sz w:val="24"/>
              </w:rPr>
              <w:t>C.</w:t>
            </w:r>
            <w:r>
              <w:rPr>
                <w:spacing w:val="-4"/>
                <w:sz w:val="24"/>
              </w:rPr>
              <w:t> </w:t>
            </w:r>
            <w:r>
              <w:rPr>
                <w:sz w:val="24"/>
              </w:rPr>
              <w:t>et</w:t>
            </w:r>
            <w:r>
              <w:rPr>
                <w:spacing w:val="-6"/>
                <w:sz w:val="24"/>
              </w:rPr>
              <w:t> </w:t>
            </w:r>
            <w:r>
              <w:rPr>
                <w:sz w:val="24"/>
              </w:rPr>
              <w:t>al</w:t>
            </w:r>
            <w:r>
              <w:rPr>
                <w:spacing w:val="-3"/>
                <w:sz w:val="24"/>
              </w:rPr>
              <w:t> </w:t>
            </w:r>
            <w:r>
              <w:rPr>
                <w:sz w:val="24"/>
              </w:rPr>
              <w:t>(2005)</w:t>
            </w:r>
            <w:r>
              <w:rPr>
                <w:spacing w:val="-5"/>
                <w:sz w:val="24"/>
              </w:rPr>
              <w:t> </w:t>
            </w:r>
            <w:r>
              <w:rPr>
                <w:sz w:val="24"/>
              </w:rPr>
              <w:t>Increasing</w:t>
            </w:r>
            <w:r>
              <w:rPr>
                <w:spacing w:val="-5"/>
                <w:sz w:val="24"/>
              </w:rPr>
              <w:t> </w:t>
            </w:r>
            <w:r>
              <w:rPr>
                <w:sz w:val="24"/>
              </w:rPr>
              <w:t>staff</w:t>
            </w:r>
            <w:r>
              <w:rPr>
                <w:spacing w:val="-3"/>
                <w:sz w:val="24"/>
              </w:rPr>
              <w:t> </w:t>
            </w:r>
            <w:r>
              <w:rPr>
                <w:sz w:val="24"/>
              </w:rPr>
              <w:t>awareness</w:t>
            </w:r>
            <w:r>
              <w:rPr>
                <w:spacing w:val="-4"/>
                <w:sz w:val="24"/>
              </w:rPr>
              <w:t> </w:t>
            </w:r>
            <w:r>
              <w:rPr>
                <w:sz w:val="24"/>
              </w:rPr>
              <w:t>of</w:t>
            </w:r>
            <w:r>
              <w:rPr>
                <w:spacing w:val="-4"/>
                <w:sz w:val="24"/>
              </w:rPr>
              <w:t> </w:t>
            </w:r>
            <w:r>
              <w:rPr>
                <w:sz w:val="24"/>
              </w:rPr>
              <w:t>respiratory</w:t>
            </w:r>
            <w:r>
              <w:rPr>
                <w:spacing w:val="-8"/>
                <w:sz w:val="24"/>
              </w:rPr>
              <w:t> </w:t>
            </w:r>
            <w:r>
              <w:rPr>
                <w:sz w:val="24"/>
              </w:rPr>
              <w:t>rate significance. Nursing Times; 101: 27, 35-37.</w:t>
            </w:r>
          </w:p>
          <w:p>
            <w:pPr>
              <w:pStyle w:val="TableParagraph"/>
              <w:spacing w:before="2"/>
              <w:rPr>
                <w:rFonts w:ascii="Arial"/>
                <w:b/>
                <w:sz w:val="24"/>
              </w:rPr>
            </w:pPr>
          </w:p>
          <w:p>
            <w:pPr>
              <w:pStyle w:val="TableParagraph"/>
              <w:ind w:left="50" w:right="114"/>
              <w:rPr>
                <w:sz w:val="24"/>
              </w:rPr>
            </w:pPr>
            <w:r>
              <w:rPr>
                <w:sz w:val="24"/>
              </w:rPr>
              <w:t>Chellel,</w:t>
            </w:r>
            <w:r>
              <w:rPr>
                <w:spacing w:val="-3"/>
                <w:sz w:val="24"/>
              </w:rPr>
              <w:t> </w:t>
            </w:r>
            <w:r>
              <w:rPr>
                <w:sz w:val="24"/>
              </w:rPr>
              <w:t>A.</w:t>
            </w:r>
            <w:r>
              <w:rPr>
                <w:spacing w:val="-5"/>
                <w:sz w:val="24"/>
              </w:rPr>
              <w:t> </w:t>
            </w:r>
            <w:r>
              <w:rPr>
                <w:sz w:val="24"/>
              </w:rPr>
              <w:t>et</w:t>
            </w:r>
            <w:r>
              <w:rPr>
                <w:spacing w:val="-5"/>
                <w:sz w:val="24"/>
              </w:rPr>
              <w:t> </w:t>
            </w:r>
            <w:r>
              <w:rPr>
                <w:sz w:val="24"/>
              </w:rPr>
              <w:t>al</w:t>
            </w:r>
            <w:r>
              <w:rPr>
                <w:spacing w:val="-2"/>
                <w:sz w:val="24"/>
              </w:rPr>
              <w:t> </w:t>
            </w:r>
            <w:r>
              <w:rPr>
                <w:sz w:val="24"/>
              </w:rPr>
              <w:t>(2002)</w:t>
            </w:r>
            <w:r>
              <w:rPr>
                <w:spacing w:val="-6"/>
                <w:sz w:val="24"/>
              </w:rPr>
              <w:t> </w:t>
            </w:r>
            <w:r>
              <w:rPr>
                <w:sz w:val="24"/>
              </w:rPr>
              <w:t>Nursing</w:t>
            </w:r>
            <w:r>
              <w:rPr>
                <w:spacing w:val="-5"/>
                <w:sz w:val="24"/>
              </w:rPr>
              <w:t> </w:t>
            </w:r>
            <w:r>
              <w:rPr>
                <w:sz w:val="24"/>
              </w:rPr>
              <w:t>observations</w:t>
            </w:r>
            <w:r>
              <w:rPr>
                <w:spacing w:val="-4"/>
                <w:sz w:val="24"/>
              </w:rPr>
              <w:t> </w:t>
            </w:r>
            <w:r>
              <w:rPr>
                <w:sz w:val="24"/>
              </w:rPr>
              <w:t>on</w:t>
            </w:r>
            <w:r>
              <w:rPr>
                <w:spacing w:val="-4"/>
                <w:sz w:val="24"/>
              </w:rPr>
              <w:t> </w:t>
            </w:r>
            <w:r>
              <w:rPr>
                <w:sz w:val="24"/>
              </w:rPr>
              <w:t>ward</w:t>
            </w:r>
            <w:r>
              <w:rPr>
                <w:spacing w:val="-4"/>
                <w:sz w:val="24"/>
              </w:rPr>
              <w:t> </w:t>
            </w:r>
            <w:r>
              <w:rPr>
                <w:sz w:val="24"/>
              </w:rPr>
              <w:t>patients</w:t>
            </w:r>
            <w:r>
              <w:rPr>
                <w:spacing w:val="-4"/>
                <w:sz w:val="24"/>
              </w:rPr>
              <w:t> </w:t>
            </w:r>
            <w:r>
              <w:rPr>
                <w:sz w:val="24"/>
              </w:rPr>
              <w:t>at</w:t>
            </w:r>
            <w:r>
              <w:rPr>
                <w:spacing w:val="-4"/>
                <w:sz w:val="24"/>
              </w:rPr>
              <w:t> </w:t>
            </w:r>
            <w:r>
              <w:rPr>
                <w:sz w:val="24"/>
              </w:rPr>
              <w:t>risk</w:t>
            </w:r>
            <w:r>
              <w:rPr>
                <w:spacing w:val="-4"/>
                <w:sz w:val="24"/>
              </w:rPr>
              <w:t> </w:t>
            </w:r>
            <w:r>
              <w:rPr>
                <w:sz w:val="24"/>
              </w:rPr>
              <w:t>of critical illness. Nursing Times; 98: 46, 36-38.</w:t>
            </w:r>
          </w:p>
          <w:p>
            <w:pPr>
              <w:pStyle w:val="TableParagraph"/>
              <w:spacing w:before="5"/>
              <w:rPr>
                <w:rFonts w:ascii="Arial"/>
                <w:b/>
                <w:sz w:val="24"/>
              </w:rPr>
            </w:pPr>
          </w:p>
          <w:p>
            <w:pPr>
              <w:pStyle w:val="TableParagraph"/>
              <w:spacing w:before="1"/>
              <w:ind w:left="50"/>
              <w:rPr>
                <w:sz w:val="24"/>
              </w:rPr>
            </w:pPr>
            <w:r>
              <w:rPr>
                <w:sz w:val="24"/>
              </w:rPr>
              <w:t>Critical</w:t>
            </w:r>
            <w:r>
              <w:rPr>
                <w:spacing w:val="-5"/>
                <w:sz w:val="24"/>
              </w:rPr>
              <w:t> </w:t>
            </w:r>
            <w:r>
              <w:rPr>
                <w:sz w:val="24"/>
              </w:rPr>
              <w:t>Care</w:t>
            </w:r>
            <w:r>
              <w:rPr>
                <w:spacing w:val="-5"/>
                <w:sz w:val="24"/>
              </w:rPr>
              <w:t> </w:t>
            </w:r>
            <w:r>
              <w:rPr>
                <w:sz w:val="24"/>
              </w:rPr>
              <w:t>Stakeholder's</w:t>
            </w:r>
            <w:r>
              <w:rPr>
                <w:spacing w:val="-5"/>
                <w:sz w:val="24"/>
              </w:rPr>
              <w:t> </w:t>
            </w:r>
            <w:r>
              <w:rPr>
                <w:sz w:val="24"/>
              </w:rPr>
              <w:t>Forum</w:t>
            </w:r>
            <w:r>
              <w:rPr>
                <w:spacing w:val="-6"/>
                <w:sz w:val="24"/>
              </w:rPr>
              <w:t> </w:t>
            </w:r>
            <w:r>
              <w:rPr>
                <w:sz w:val="24"/>
              </w:rPr>
              <w:t>and</w:t>
            </w:r>
            <w:r>
              <w:rPr>
                <w:spacing w:val="-5"/>
                <w:sz w:val="24"/>
              </w:rPr>
              <w:t> </w:t>
            </w:r>
            <w:r>
              <w:rPr>
                <w:sz w:val="24"/>
              </w:rPr>
              <w:t>National</w:t>
            </w:r>
            <w:r>
              <w:rPr>
                <w:spacing w:val="-5"/>
                <w:sz w:val="24"/>
              </w:rPr>
              <w:t> </w:t>
            </w:r>
            <w:r>
              <w:rPr>
                <w:sz w:val="24"/>
              </w:rPr>
              <w:t>Outreach</w:t>
            </w:r>
            <w:r>
              <w:rPr>
                <w:spacing w:val="-5"/>
                <w:sz w:val="24"/>
              </w:rPr>
              <w:t> </w:t>
            </w:r>
            <w:r>
              <w:rPr>
                <w:sz w:val="24"/>
              </w:rPr>
              <w:t>Forum (2007) Clinical Indicators for Critical Care Outreach Services. </w:t>
            </w:r>
            <w:hyperlink r:id="rId21">
              <w:r>
                <w:rPr>
                  <w:color w:val="0000FF"/>
                  <w:sz w:val="24"/>
                  <w:u w:val="single" w:color="0000FF"/>
                </w:rPr>
                <w:t>www.dh.gov.uk</w:t>
              </w:r>
            </w:hyperlink>
          </w:p>
          <w:p>
            <w:pPr>
              <w:pStyle w:val="TableParagraph"/>
              <w:spacing w:before="4"/>
              <w:rPr>
                <w:rFonts w:ascii="Arial"/>
                <w:b/>
                <w:sz w:val="24"/>
              </w:rPr>
            </w:pPr>
          </w:p>
          <w:p>
            <w:pPr>
              <w:pStyle w:val="TableParagraph"/>
              <w:ind w:left="50"/>
              <w:rPr>
                <w:sz w:val="24"/>
              </w:rPr>
            </w:pPr>
            <w:r>
              <w:rPr>
                <w:sz w:val="24"/>
              </w:rPr>
              <w:t>Cuthbertson BH, Bourjerdi M, Aucott L, Prescott G. Can physiological variables</w:t>
            </w:r>
            <w:r>
              <w:rPr>
                <w:spacing w:val="-4"/>
                <w:sz w:val="24"/>
              </w:rPr>
              <w:t> </w:t>
            </w:r>
            <w:r>
              <w:rPr>
                <w:sz w:val="24"/>
              </w:rPr>
              <w:t>and</w:t>
            </w:r>
            <w:r>
              <w:rPr>
                <w:spacing w:val="-5"/>
                <w:sz w:val="24"/>
              </w:rPr>
              <w:t> </w:t>
            </w:r>
            <w:r>
              <w:rPr>
                <w:sz w:val="24"/>
              </w:rPr>
              <w:t>early</w:t>
            </w:r>
            <w:r>
              <w:rPr>
                <w:spacing w:val="-6"/>
                <w:sz w:val="24"/>
              </w:rPr>
              <w:t> </w:t>
            </w:r>
            <w:r>
              <w:rPr>
                <w:sz w:val="24"/>
              </w:rPr>
              <w:t>warning</w:t>
            </w:r>
            <w:r>
              <w:rPr>
                <w:spacing w:val="-4"/>
                <w:sz w:val="24"/>
              </w:rPr>
              <w:t> </w:t>
            </w:r>
            <w:r>
              <w:rPr>
                <w:sz w:val="24"/>
              </w:rPr>
              <w:t>scoring</w:t>
            </w:r>
            <w:r>
              <w:rPr>
                <w:spacing w:val="-5"/>
                <w:sz w:val="24"/>
              </w:rPr>
              <w:t> </w:t>
            </w:r>
            <w:r>
              <w:rPr>
                <w:sz w:val="24"/>
              </w:rPr>
              <w:t>systems</w:t>
            </w:r>
            <w:r>
              <w:rPr>
                <w:spacing w:val="-4"/>
                <w:sz w:val="24"/>
              </w:rPr>
              <w:t> </w:t>
            </w:r>
            <w:r>
              <w:rPr>
                <w:sz w:val="24"/>
              </w:rPr>
              <w:t>allow</w:t>
            </w:r>
            <w:r>
              <w:rPr>
                <w:spacing w:val="-6"/>
                <w:sz w:val="24"/>
              </w:rPr>
              <w:t> </w:t>
            </w:r>
            <w:r>
              <w:rPr>
                <w:sz w:val="24"/>
              </w:rPr>
              <w:t>early</w:t>
            </w:r>
            <w:r>
              <w:rPr>
                <w:spacing w:val="-3"/>
                <w:sz w:val="24"/>
              </w:rPr>
              <w:t> </w:t>
            </w:r>
            <w:r>
              <w:rPr>
                <w:sz w:val="24"/>
              </w:rPr>
              <w:t>recognition</w:t>
            </w:r>
            <w:r>
              <w:rPr>
                <w:spacing w:val="-4"/>
                <w:sz w:val="24"/>
              </w:rPr>
              <w:t> </w:t>
            </w:r>
            <w:r>
              <w:rPr>
                <w:sz w:val="24"/>
              </w:rPr>
              <w:t>of</w:t>
            </w:r>
            <w:r>
              <w:rPr>
                <w:spacing w:val="-1"/>
                <w:sz w:val="24"/>
              </w:rPr>
              <w:t> </w:t>
            </w:r>
            <w:r>
              <w:rPr>
                <w:sz w:val="24"/>
              </w:rPr>
              <w:t>the deteriorating surgical patient? Crit Care Med (2007) 35:402–9.</w:t>
            </w:r>
          </w:p>
          <w:p>
            <w:pPr>
              <w:pStyle w:val="TableParagraph"/>
              <w:spacing w:before="7"/>
              <w:rPr>
                <w:rFonts w:ascii="Arial"/>
                <w:b/>
                <w:sz w:val="24"/>
              </w:rPr>
            </w:pPr>
          </w:p>
          <w:p>
            <w:pPr>
              <w:pStyle w:val="TableParagraph"/>
              <w:spacing w:line="237" w:lineRule="auto" w:before="1"/>
              <w:ind w:left="50"/>
              <w:rPr>
                <w:sz w:val="24"/>
              </w:rPr>
            </w:pPr>
            <w:r>
              <w:rPr>
                <w:sz w:val="24"/>
              </w:rPr>
              <w:t>Department</w:t>
            </w:r>
            <w:r>
              <w:rPr>
                <w:spacing w:val="-7"/>
                <w:sz w:val="24"/>
              </w:rPr>
              <w:t> </w:t>
            </w:r>
            <w:r>
              <w:rPr>
                <w:sz w:val="24"/>
              </w:rPr>
              <w:t>of</w:t>
            </w:r>
            <w:r>
              <w:rPr>
                <w:spacing w:val="-5"/>
                <w:sz w:val="24"/>
              </w:rPr>
              <w:t> </w:t>
            </w:r>
            <w:r>
              <w:rPr>
                <w:sz w:val="24"/>
              </w:rPr>
              <w:t>Health</w:t>
            </w:r>
            <w:r>
              <w:rPr>
                <w:spacing w:val="-4"/>
                <w:sz w:val="24"/>
              </w:rPr>
              <w:t> </w:t>
            </w:r>
            <w:r>
              <w:rPr>
                <w:sz w:val="24"/>
              </w:rPr>
              <w:t>(2005)</w:t>
            </w:r>
            <w:r>
              <w:rPr>
                <w:spacing w:val="-5"/>
                <w:sz w:val="24"/>
              </w:rPr>
              <w:t> </w:t>
            </w:r>
            <w:r>
              <w:rPr>
                <w:sz w:val="24"/>
              </w:rPr>
              <w:t>Quality</w:t>
            </w:r>
            <w:r>
              <w:rPr>
                <w:spacing w:val="-6"/>
                <w:sz w:val="24"/>
              </w:rPr>
              <w:t> </w:t>
            </w:r>
            <w:r>
              <w:rPr>
                <w:sz w:val="24"/>
              </w:rPr>
              <w:t>Critical</w:t>
            </w:r>
            <w:r>
              <w:rPr>
                <w:spacing w:val="-4"/>
                <w:sz w:val="24"/>
              </w:rPr>
              <w:t> </w:t>
            </w:r>
            <w:r>
              <w:rPr>
                <w:sz w:val="24"/>
              </w:rPr>
              <w:t>Care</w:t>
            </w:r>
            <w:r>
              <w:rPr>
                <w:spacing w:val="-2"/>
                <w:sz w:val="24"/>
              </w:rPr>
              <w:t> </w:t>
            </w:r>
            <w:r>
              <w:rPr>
                <w:sz w:val="24"/>
              </w:rPr>
              <w:t>-</w:t>
            </w:r>
            <w:r>
              <w:rPr>
                <w:spacing w:val="-5"/>
                <w:sz w:val="24"/>
              </w:rPr>
              <w:t> </w:t>
            </w:r>
            <w:r>
              <w:rPr>
                <w:sz w:val="24"/>
              </w:rPr>
              <w:t>Beyond</w:t>
            </w:r>
            <w:r>
              <w:rPr>
                <w:spacing w:val="-4"/>
                <w:sz w:val="24"/>
              </w:rPr>
              <w:t> </w:t>
            </w:r>
            <w:r>
              <w:rPr>
                <w:sz w:val="24"/>
              </w:rPr>
              <w:t>'Comprehensive Critical Care'. </w:t>
            </w:r>
            <w:hyperlink r:id="rId22">
              <w:r>
                <w:rPr>
                  <w:color w:val="0000FF"/>
                  <w:sz w:val="24"/>
                  <w:u w:val="single" w:color="0000FF"/>
                </w:rPr>
                <w:t>www.dh.gov.uk</w:t>
              </w:r>
            </w:hyperlink>
          </w:p>
          <w:p>
            <w:pPr>
              <w:pStyle w:val="TableParagraph"/>
              <w:spacing w:before="5"/>
              <w:rPr>
                <w:rFonts w:ascii="Arial"/>
                <w:b/>
                <w:sz w:val="24"/>
              </w:rPr>
            </w:pPr>
          </w:p>
          <w:p>
            <w:pPr>
              <w:pStyle w:val="TableParagraph"/>
              <w:ind w:left="50"/>
              <w:rPr>
                <w:sz w:val="24"/>
              </w:rPr>
            </w:pPr>
            <w:r>
              <w:rPr>
                <w:sz w:val="24"/>
              </w:rPr>
              <w:t>Department</w:t>
            </w:r>
            <w:r>
              <w:rPr>
                <w:spacing w:val="-2"/>
                <w:sz w:val="24"/>
              </w:rPr>
              <w:t> </w:t>
            </w:r>
            <w:r>
              <w:rPr>
                <w:sz w:val="24"/>
              </w:rPr>
              <w:t>of Health (2004a) National Standards, Local Action: Health and Social</w:t>
            </w:r>
            <w:r>
              <w:rPr>
                <w:spacing w:val="-6"/>
                <w:sz w:val="24"/>
              </w:rPr>
              <w:t> </w:t>
            </w:r>
            <w:r>
              <w:rPr>
                <w:sz w:val="24"/>
              </w:rPr>
              <w:t>Care</w:t>
            </w:r>
            <w:r>
              <w:rPr>
                <w:spacing w:val="-8"/>
                <w:sz w:val="24"/>
              </w:rPr>
              <w:t> </w:t>
            </w:r>
            <w:r>
              <w:rPr>
                <w:sz w:val="24"/>
              </w:rPr>
              <w:t>Standards</w:t>
            </w:r>
            <w:r>
              <w:rPr>
                <w:spacing w:val="-9"/>
                <w:sz w:val="24"/>
              </w:rPr>
              <w:t> </w:t>
            </w:r>
            <w:r>
              <w:rPr>
                <w:sz w:val="24"/>
              </w:rPr>
              <w:t>Planning</w:t>
            </w:r>
            <w:r>
              <w:rPr>
                <w:spacing w:val="-8"/>
                <w:sz w:val="24"/>
              </w:rPr>
              <w:t> </w:t>
            </w:r>
            <w:r>
              <w:rPr>
                <w:sz w:val="24"/>
              </w:rPr>
              <w:t>Framework</w:t>
            </w:r>
            <w:r>
              <w:rPr>
                <w:spacing w:val="-6"/>
                <w:sz w:val="24"/>
              </w:rPr>
              <w:t> </w:t>
            </w:r>
            <w:r>
              <w:rPr>
                <w:sz w:val="24"/>
              </w:rPr>
              <w:t>2005/6-2007/8).</w:t>
            </w:r>
            <w:hyperlink r:id="rId23">
              <w:r>
                <w:rPr>
                  <w:color w:val="0000FF"/>
                  <w:sz w:val="24"/>
                  <w:u w:val="single" w:color="0000FF"/>
                </w:rPr>
                <w:t>www.dh.gov.uk</w:t>
              </w:r>
            </w:hyperlink>
          </w:p>
          <w:p>
            <w:pPr>
              <w:pStyle w:val="TableParagraph"/>
              <w:spacing w:before="5"/>
              <w:rPr>
                <w:rFonts w:ascii="Arial"/>
                <w:b/>
                <w:sz w:val="24"/>
              </w:rPr>
            </w:pPr>
          </w:p>
          <w:p>
            <w:pPr>
              <w:pStyle w:val="TableParagraph"/>
              <w:spacing w:before="1"/>
              <w:ind w:left="50"/>
              <w:rPr>
                <w:sz w:val="24"/>
              </w:rPr>
            </w:pPr>
            <w:r>
              <w:rPr>
                <w:sz w:val="24"/>
              </w:rPr>
              <w:t>Department</w:t>
            </w:r>
            <w:r>
              <w:rPr>
                <w:spacing w:val="-9"/>
                <w:sz w:val="24"/>
              </w:rPr>
              <w:t> </w:t>
            </w:r>
            <w:r>
              <w:rPr>
                <w:sz w:val="24"/>
              </w:rPr>
              <w:t>of</w:t>
            </w:r>
            <w:r>
              <w:rPr>
                <w:spacing w:val="-7"/>
                <w:sz w:val="24"/>
              </w:rPr>
              <w:t> </w:t>
            </w:r>
            <w:r>
              <w:rPr>
                <w:sz w:val="24"/>
              </w:rPr>
              <w:t>Health</w:t>
            </w:r>
            <w:r>
              <w:rPr>
                <w:spacing w:val="-5"/>
                <w:sz w:val="24"/>
              </w:rPr>
              <w:t> </w:t>
            </w:r>
            <w:r>
              <w:rPr>
                <w:sz w:val="24"/>
              </w:rPr>
              <w:t>(2004b)</w:t>
            </w:r>
            <w:r>
              <w:rPr>
                <w:spacing w:val="-6"/>
                <w:sz w:val="24"/>
              </w:rPr>
              <w:t> </w:t>
            </w:r>
            <w:r>
              <w:rPr>
                <w:sz w:val="24"/>
              </w:rPr>
              <w:t>Standards</w:t>
            </w:r>
            <w:r>
              <w:rPr>
                <w:spacing w:val="-8"/>
                <w:sz w:val="24"/>
              </w:rPr>
              <w:t> </w:t>
            </w:r>
            <w:r>
              <w:rPr>
                <w:sz w:val="24"/>
              </w:rPr>
              <w:t>for</w:t>
            </w:r>
            <w:r>
              <w:rPr>
                <w:spacing w:val="-9"/>
                <w:sz w:val="24"/>
              </w:rPr>
              <w:t> </w:t>
            </w:r>
            <w:r>
              <w:rPr>
                <w:sz w:val="24"/>
              </w:rPr>
              <w:t>Better</w:t>
            </w:r>
            <w:r>
              <w:rPr>
                <w:spacing w:val="-6"/>
                <w:sz w:val="24"/>
              </w:rPr>
              <w:t> </w:t>
            </w:r>
            <w:r>
              <w:rPr>
                <w:sz w:val="24"/>
              </w:rPr>
              <w:t>Health.</w:t>
            </w:r>
            <w:r>
              <w:rPr>
                <w:spacing w:val="-5"/>
                <w:sz w:val="24"/>
              </w:rPr>
              <w:t> </w:t>
            </w:r>
            <w:hyperlink r:id="rId24">
              <w:r>
                <w:rPr>
                  <w:color w:val="0000FF"/>
                  <w:spacing w:val="-2"/>
                  <w:sz w:val="24"/>
                  <w:u w:val="single" w:color="0000FF"/>
                </w:rPr>
                <w:t>www.dh.gov.uk</w:t>
              </w:r>
            </w:hyperlink>
          </w:p>
          <w:p>
            <w:pPr>
              <w:pStyle w:val="TableParagraph"/>
              <w:spacing w:before="2"/>
              <w:rPr>
                <w:rFonts w:ascii="Arial"/>
                <w:b/>
                <w:sz w:val="24"/>
              </w:rPr>
            </w:pPr>
          </w:p>
          <w:p>
            <w:pPr>
              <w:pStyle w:val="TableParagraph"/>
              <w:ind w:left="50" w:right="114"/>
              <w:rPr>
                <w:sz w:val="24"/>
              </w:rPr>
            </w:pPr>
            <w:r>
              <w:rPr>
                <w:sz w:val="24"/>
              </w:rPr>
              <w:t>Department</w:t>
            </w:r>
            <w:r>
              <w:rPr>
                <w:spacing w:val="-6"/>
                <w:sz w:val="24"/>
              </w:rPr>
              <w:t> </w:t>
            </w:r>
            <w:r>
              <w:rPr>
                <w:sz w:val="24"/>
              </w:rPr>
              <w:t>of</w:t>
            </w:r>
            <w:r>
              <w:rPr>
                <w:spacing w:val="-4"/>
                <w:sz w:val="24"/>
              </w:rPr>
              <w:t> </w:t>
            </w:r>
            <w:r>
              <w:rPr>
                <w:sz w:val="24"/>
              </w:rPr>
              <w:t>Health</w:t>
            </w:r>
            <w:r>
              <w:rPr>
                <w:spacing w:val="-3"/>
                <w:sz w:val="24"/>
              </w:rPr>
              <w:t> </w:t>
            </w:r>
            <w:r>
              <w:rPr>
                <w:sz w:val="24"/>
              </w:rPr>
              <w:t>(2004c)</w:t>
            </w:r>
            <w:r>
              <w:rPr>
                <w:spacing w:val="-4"/>
                <w:sz w:val="24"/>
              </w:rPr>
              <w:t> </w:t>
            </w:r>
            <w:r>
              <w:rPr>
                <w:sz w:val="24"/>
              </w:rPr>
              <w:t>The</w:t>
            </w:r>
            <w:r>
              <w:rPr>
                <w:spacing w:val="-3"/>
                <w:sz w:val="24"/>
              </w:rPr>
              <w:t> </w:t>
            </w:r>
            <w:r>
              <w:rPr>
                <w:sz w:val="24"/>
              </w:rPr>
              <w:t>NHS</w:t>
            </w:r>
            <w:r>
              <w:rPr>
                <w:spacing w:val="-6"/>
                <w:sz w:val="24"/>
              </w:rPr>
              <w:t> </w:t>
            </w:r>
            <w:r>
              <w:rPr>
                <w:sz w:val="24"/>
              </w:rPr>
              <w:t>Improvement</w:t>
            </w:r>
            <w:r>
              <w:rPr>
                <w:spacing w:val="-6"/>
                <w:sz w:val="24"/>
              </w:rPr>
              <w:t> </w:t>
            </w:r>
            <w:r>
              <w:rPr>
                <w:sz w:val="24"/>
              </w:rPr>
              <w:t>Plan:</w:t>
            </w:r>
            <w:r>
              <w:rPr>
                <w:spacing w:val="-4"/>
                <w:sz w:val="24"/>
              </w:rPr>
              <w:t> </w:t>
            </w:r>
            <w:r>
              <w:rPr>
                <w:sz w:val="24"/>
              </w:rPr>
              <w:t>Putting</w:t>
            </w:r>
            <w:r>
              <w:rPr>
                <w:spacing w:val="-7"/>
                <w:sz w:val="24"/>
              </w:rPr>
              <w:t> </w:t>
            </w:r>
            <w:r>
              <w:rPr>
                <w:sz w:val="24"/>
              </w:rPr>
              <w:t>People at the Heart of Public Services. </w:t>
            </w:r>
            <w:hyperlink r:id="rId25">
              <w:r>
                <w:rPr>
                  <w:color w:val="0000FF"/>
                  <w:sz w:val="24"/>
                  <w:u w:val="single" w:color="0000FF"/>
                </w:rPr>
                <w:t>www.dh.gov.uk</w:t>
              </w:r>
            </w:hyperlink>
          </w:p>
          <w:p>
            <w:pPr>
              <w:pStyle w:val="TableParagraph"/>
              <w:spacing w:before="5"/>
              <w:rPr>
                <w:rFonts w:ascii="Arial"/>
                <w:b/>
                <w:sz w:val="24"/>
              </w:rPr>
            </w:pPr>
          </w:p>
          <w:p>
            <w:pPr>
              <w:pStyle w:val="TableParagraph"/>
              <w:ind w:left="50"/>
              <w:rPr>
                <w:sz w:val="24"/>
              </w:rPr>
            </w:pPr>
            <w:r>
              <w:rPr>
                <w:sz w:val="24"/>
              </w:rPr>
              <w:t>Department</w:t>
            </w:r>
            <w:r>
              <w:rPr>
                <w:spacing w:val="-6"/>
                <w:sz w:val="24"/>
              </w:rPr>
              <w:t> </w:t>
            </w:r>
            <w:r>
              <w:rPr>
                <w:sz w:val="24"/>
              </w:rPr>
              <w:t>of</w:t>
            </w:r>
            <w:r>
              <w:rPr>
                <w:spacing w:val="-5"/>
                <w:sz w:val="24"/>
              </w:rPr>
              <w:t> </w:t>
            </w:r>
            <w:r>
              <w:rPr>
                <w:sz w:val="24"/>
              </w:rPr>
              <w:t>Health</w:t>
            </w:r>
            <w:r>
              <w:rPr>
                <w:spacing w:val="-4"/>
                <w:sz w:val="24"/>
              </w:rPr>
              <w:t> </w:t>
            </w:r>
            <w:r>
              <w:rPr>
                <w:sz w:val="24"/>
              </w:rPr>
              <w:t>(2003)</w:t>
            </w:r>
            <w:r>
              <w:rPr>
                <w:spacing w:val="-5"/>
                <w:sz w:val="24"/>
              </w:rPr>
              <w:t> </w:t>
            </w:r>
            <w:r>
              <w:rPr>
                <w:sz w:val="24"/>
              </w:rPr>
              <w:t>Critical</w:t>
            </w:r>
            <w:r>
              <w:rPr>
                <w:spacing w:val="-4"/>
                <w:sz w:val="24"/>
              </w:rPr>
              <w:t> </w:t>
            </w:r>
            <w:r>
              <w:rPr>
                <w:sz w:val="24"/>
              </w:rPr>
              <w:t>Care</w:t>
            </w:r>
            <w:r>
              <w:rPr>
                <w:spacing w:val="-4"/>
                <w:sz w:val="24"/>
              </w:rPr>
              <w:t> </w:t>
            </w:r>
            <w:r>
              <w:rPr>
                <w:sz w:val="24"/>
              </w:rPr>
              <w:t>Outreach:</w:t>
            </w:r>
            <w:r>
              <w:rPr>
                <w:spacing w:val="-6"/>
                <w:sz w:val="24"/>
              </w:rPr>
              <w:t> </w:t>
            </w:r>
            <w:r>
              <w:rPr>
                <w:sz w:val="24"/>
              </w:rPr>
              <w:t>Progress</w:t>
            </w:r>
            <w:r>
              <w:rPr>
                <w:spacing w:val="-4"/>
                <w:sz w:val="24"/>
              </w:rPr>
              <w:t> </w:t>
            </w:r>
            <w:r>
              <w:rPr>
                <w:sz w:val="24"/>
              </w:rPr>
              <w:t>in</w:t>
            </w:r>
            <w:r>
              <w:rPr>
                <w:spacing w:val="-4"/>
                <w:sz w:val="24"/>
              </w:rPr>
              <w:t> </w:t>
            </w:r>
            <w:r>
              <w:rPr>
                <w:sz w:val="24"/>
              </w:rPr>
              <w:t>Developing Services. </w:t>
            </w:r>
            <w:hyperlink r:id="rId26">
              <w:r>
                <w:rPr>
                  <w:color w:val="0000FF"/>
                  <w:sz w:val="24"/>
                  <w:u w:val="single" w:color="0000FF"/>
                </w:rPr>
                <w:t>www.dh.gov.uk</w:t>
              </w:r>
            </w:hyperlink>
          </w:p>
          <w:p>
            <w:pPr>
              <w:pStyle w:val="TableParagraph"/>
              <w:spacing w:before="5"/>
              <w:rPr>
                <w:rFonts w:ascii="Arial"/>
                <w:b/>
                <w:sz w:val="24"/>
              </w:rPr>
            </w:pPr>
          </w:p>
          <w:p>
            <w:pPr>
              <w:pStyle w:val="TableParagraph"/>
              <w:ind w:left="50" w:right="114"/>
              <w:rPr>
                <w:sz w:val="24"/>
              </w:rPr>
            </w:pPr>
            <w:r>
              <w:rPr>
                <w:sz w:val="24"/>
              </w:rPr>
              <w:t>Department</w:t>
            </w:r>
            <w:r>
              <w:rPr>
                <w:spacing w:val="-7"/>
                <w:sz w:val="24"/>
              </w:rPr>
              <w:t> </w:t>
            </w:r>
            <w:r>
              <w:rPr>
                <w:sz w:val="24"/>
              </w:rPr>
              <w:t>of</w:t>
            </w:r>
            <w:r>
              <w:rPr>
                <w:spacing w:val="-5"/>
                <w:sz w:val="24"/>
              </w:rPr>
              <w:t> </w:t>
            </w:r>
            <w:r>
              <w:rPr>
                <w:sz w:val="24"/>
              </w:rPr>
              <w:t>Health</w:t>
            </w:r>
            <w:r>
              <w:rPr>
                <w:spacing w:val="-4"/>
                <w:sz w:val="24"/>
              </w:rPr>
              <w:t> </w:t>
            </w:r>
            <w:r>
              <w:rPr>
                <w:sz w:val="24"/>
              </w:rPr>
              <w:t>(2000)</w:t>
            </w:r>
            <w:r>
              <w:rPr>
                <w:spacing w:val="-5"/>
                <w:sz w:val="24"/>
              </w:rPr>
              <w:t> </w:t>
            </w:r>
            <w:r>
              <w:rPr>
                <w:sz w:val="24"/>
              </w:rPr>
              <w:t>Comprehensive</w:t>
            </w:r>
            <w:r>
              <w:rPr>
                <w:spacing w:val="-5"/>
                <w:sz w:val="24"/>
              </w:rPr>
              <w:t> </w:t>
            </w:r>
            <w:r>
              <w:rPr>
                <w:sz w:val="24"/>
              </w:rPr>
              <w:t>Critical</w:t>
            </w:r>
            <w:r>
              <w:rPr>
                <w:spacing w:val="-4"/>
                <w:sz w:val="24"/>
              </w:rPr>
              <w:t> </w:t>
            </w:r>
            <w:r>
              <w:rPr>
                <w:sz w:val="24"/>
              </w:rPr>
              <w:t>Care:</w:t>
            </w:r>
            <w:r>
              <w:rPr>
                <w:spacing w:val="-3"/>
                <w:sz w:val="24"/>
              </w:rPr>
              <w:t> </w:t>
            </w:r>
            <w:r>
              <w:rPr>
                <w:sz w:val="24"/>
              </w:rPr>
              <w:t>A</w:t>
            </w:r>
            <w:r>
              <w:rPr>
                <w:spacing w:val="-3"/>
                <w:sz w:val="24"/>
              </w:rPr>
              <w:t> </w:t>
            </w:r>
            <w:r>
              <w:rPr>
                <w:sz w:val="24"/>
              </w:rPr>
              <w:t>Review</w:t>
            </w:r>
            <w:r>
              <w:rPr>
                <w:spacing w:val="-7"/>
                <w:sz w:val="24"/>
              </w:rPr>
              <w:t> </w:t>
            </w:r>
            <w:r>
              <w:rPr>
                <w:sz w:val="24"/>
              </w:rPr>
              <w:t>of Adult Critical Care Services.</w:t>
            </w:r>
            <w:hyperlink r:id="rId27">
              <w:r>
                <w:rPr>
                  <w:color w:val="0000FF"/>
                  <w:sz w:val="24"/>
                  <w:u w:val="single" w:color="0000FF"/>
                </w:rPr>
                <w:t>www.ics.ac.uk</w:t>
              </w:r>
            </w:hyperlink>
          </w:p>
          <w:p>
            <w:pPr>
              <w:pStyle w:val="TableParagraph"/>
              <w:spacing w:before="3"/>
              <w:rPr>
                <w:rFonts w:ascii="Arial"/>
                <w:b/>
                <w:sz w:val="24"/>
              </w:rPr>
            </w:pPr>
          </w:p>
          <w:p>
            <w:pPr>
              <w:pStyle w:val="TableParagraph"/>
              <w:ind w:left="50" w:right="114"/>
              <w:rPr>
                <w:sz w:val="24"/>
              </w:rPr>
            </w:pPr>
            <w:r>
              <w:rPr>
                <w:sz w:val="24"/>
              </w:rPr>
              <w:t>Gao</w:t>
            </w:r>
            <w:r>
              <w:rPr>
                <w:spacing w:val="-3"/>
                <w:sz w:val="24"/>
              </w:rPr>
              <w:t> </w:t>
            </w:r>
            <w:r>
              <w:rPr>
                <w:sz w:val="24"/>
              </w:rPr>
              <w:t>H,</w:t>
            </w:r>
            <w:r>
              <w:rPr>
                <w:spacing w:val="-3"/>
                <w:sz w:val="24"/>
              </w:rPr>
              <w:t> </w:t>
            </w:r>
            <w:r>
              <w:rPr>
                <w:sz w:val="24"/>
              </w:rPr>
              <w:t>McDonnell</w:t>
            </w:r>
            <w:r>
              <w:rPr>
                <w:spacing w:val="-4"/>
                <w:sz w:val="24"/>
              </w:rPr>
              <w:t> </w:t>
            </w:r>
            <w:r>
              <w:rPr>
                <w:sz w:val="24"/>
              </w:rPr>
              <w:t>A,</w:t>
            </w:r>
            <w:r>
              <w:rPr>
                <w:spacing w:val="-5"/>
                <w:sz w:val="24"/>
              </w:rPr>
              <w:t> </w:t>
            </w:r>
            <w:r>
              <w:rPr>
                <w:sz w:val="24"/>
              </w:rPr>
              <w:t>Harrison</w:t>
            </w:r>
            <w:r>
              <w:rPr>
                <w:spacing w:val="-2"/>
                <w:sz w:val="24"/>
              </w:rPr>
              <w:t> </w:t>
            </w:r>
            <w:r>
              <w:rPr>
                <w:sz w:val="24"/>
              </w:rPr>
              <w:t>DA,</w:t>
            </w:r>
            <w:r>
              <w:rPr>
                <w:spacing w:val="-2"/>
                <w:sz w:val="24"/>
              </w:rPr>
              <w:t> </w:t>
            </w:r>
            <w:r>
              <w:rPr>
                <w:sz w:val="24"/>
              </w:rPr>
              <w:t>et</w:t>
            </w:r>
            <w:r>
              <w:rPr>
                <w:spacing w:val="-5"/>
                <w:sz w:val="24"/>
              </w:rPr>
              <w:t> </w:t>
            </w:r>
            <w:r>
              <w:rPr>
                <w:sz w:val="24"/>
              </w:rPr>
              <w:t>al.</w:t>
            </w:r>
            <w:r>
              <w:rPr>
                <w:spacing w:val="-2"/>
                <w:sz w:val="24"/>
              </w:rPr>
              <w:t> </w:t>
            </w:r>
            <w:r>
              <w:rPr>
                <w:sz w:val="24"/>
              </w:rPr>
              <w:t>Systematic</w:t>
            </w:r>
            <w:r>
              <w:rPr>
                <w:spacing w:val="-3"/>
                <w:sz w:val="24"/>
              </w:rPr>
              <w:t> </w:t>
            </w:r>
            <w:r>
              <w:rPr>
                <w:sz w:val="24"/>
              </w:rPr>
              <w:t>review</w:t>
            </w:r>
            <w:r>
              <w:rPr>
                <w:spacing w:val="-5"/>
                <w:sz w:val="24"/>
              </w:rPr>
              <w:t> </w:t>
            </w:r>
            <w:r>
              <w:rPr>
                <w:sz w:val="24"/>
              </w:rPr>
              <w:t>and</w:t>
            </w:r>
            <w:r>
              <w:rPr>
                <w:spacing w:val="-1"/>
                <w:sz w:val="24"/>
              </w:rPr>
              <w:t> </w:t>
            </w:r>
            <w:r>
              <w:rPr>
                <w:sz w:val="24"/>
              </w:rPr>
              <w:t>evaluation of physiological track and trigger warning systems for identifying at-risk patients on the ward. Intensive Care Med (2007) 33:667–79.</w:t>
            </w:r>
          </w:p>
          <w:p>
            <w:pPr>
              <w:pStyle w:val="TableParagraph"/>
              <w:spacing w:before="4"/>
              <w:rPr>
                <w:rFonts w:ascii="Arial"/>
                <w:b/>
                <w:sz w:val="24"/>
              </w:rPr>
            </w:pPr>
          </w:p>
          <w:p>
            <w:pPr>
              <w:pStyle w:val="TableParagraph"/>
              <w:spacing w:before="1"/>
              <w:ind w:left="50"/>
              <w:rPr>
                <w:sz w:val="24"/>
              </w:rPr>
            </w:pPr>
            <w:r>
              <w:rPr>
                <w:sz w:val="24"/>
              </w:rPr>
              <w:t>Esmonde</w:t>
            </w:r>
            <w:r>
              <w:rPr>
                <w:spacing w:val="-4"/>
                <w:sz w:val="24"/>
              </w:rPr>
              <w:t> </w:t>
            </w:r>
            <w:r>
              <w:rPr>
                <w:sz w:val="24"/>
              </w:rPr>
              <w:t>L,</w:t>
            </w:r>
            <w:r>
              <w:rPr>
                <w:spacing w:val="-6"/>
                <w:sz w:val="24"/>
              </w:rPr>
              <w:t> </w:t>
            </w:r>
            <w:r>
              <w:rPr>
                <w:sz w:val="24"/>
              </w:rPr>
              <w:t>McDonnell</w:t>
            </w:r>
            <w:r>
              <w:rPr>
                <w:spacing w:val="-5"/>
                <w:sz w:val="24"/>
              </w:rPr>
              <w:t> </w:t>
            </w:r>
            <w:r>
              <w:rPr>
                <w:sz w:val="24"/>
              </w:rPr>
              <w:t>A,</w:t>
            </w:r>
            <w:r>
              <w:rPr>
                <w:spacing w:val="-4"/>
                <w:sz w:val="24"/>
              </w:rPr>
              <w:t> </w:t>
            </w:r>
            <w:r>
              <w:rPr>
                <w:sz w:val="24"/>
              </w:rPr>
              <w:t>Ball</w:t>
            </w:r>
            <w:r>
              <w:rPr>
                <w:spacing w:val="-5"/>
                <w:sz w:val="24"/>
              </w:rPr>
              <w:t> </w:t>
            </w:r>
            <w:r>
              <w:rPr>
                <w:sz w:val="24"/>
              </w:rPr>
              <w:t>C,</w:t>
            </w:r>
            <w:r>
              <w:rPr>
                <w:spacing w:val="-6"/>
                <w:sz w:val="24"/>
              </w:rPr>
              <w:t> </w:t>
            </w:r>
            <w:r>
              <w:rPr>
                <w:sz w:val="24"/>
              </w:rPr>
              <w:t>et</w:t>
            </w:r>
            <w:r>
              <w:rPr>
                <w:spacing w:val="-6"/>
                <w:sz w:val="24"/>
              </w:rPr>
              <w:t> </w:t>
            </w:r>
            <w:r>
              <w:rPr>
                <w:sz w:val="24"/>
              </w:rPr>
              <w:t>al.</w:t>
            </w:r>
            <w:r>
              <w:rPr>
                <w:spacing w:val="-4"/>
                <w:sz w:val="24"/>
              </w:rPr>
              <w:t> </w:t>
            </w:r>
            <w:r>
              <w:rPr>
                <w:sz w:val="24"/>
              </w:rPr>
              <w:t>Investigating the</w:t>
            </w:r>
            <w:r>
              <w:rPr>
                <w:spacing w:val="-3"/>
                <w:sz w:val="24"/>
              </w:rPr>
              <w:t> </w:t>
            </w:r>
            <w:r>
              <w:rPr>
                <w:sz w:val="24"/>
              </w:rPr>
              <w:t>effectiveness</w:t>
            </w:r>
            <w:r>
              <w:rPr>
                <w:spacing w:val="-2"/>
                <w:sz w:val="24"/>
              </w:rPr>
              <w:t> </w:t>
            </w:r>
            <w:r>
              <w:rPr>
                <w:sz w:val="24"/>
              </w:rPr>
              <w:t>of critical care outreach services: a systematic review. Intensive Care Med (2006) 32:1713–21.</w:t>
            </w:r>
          </w:p>
          <w:p>
            <w:pPr>
              <w:pStyle w:val="TableParagraph"/>
              <w:spacing w:before="4"/>
              <w:rPr>
                <w:rFonts w:ascii="Arial"/>
                <w:b/>
                <w:sz w:val="24"/>
              </w:rPr>
            </w:pPr>
          </w:p>
          <w:p>
            <w:pPr>
              <w:pStyle w:val="TableParagraph"/>
              <w:spacing w:before="1"/>
              <w:ind w:left="50"/>
              <w:rPr>
                <w:sz w:val="24"/>
              </w:rPr>
            </w:pPr>
            <w:r>
              <w:rPr>
                <w:sz w:val="24"/>
              </w:rPr>
              <w:t>Goldhill,</w:t>
            </w:r>
            <w:r>
              <w:rPr>
                <w:spacing w:val="-3"/>
                <w:sz w:val="24"/>
              </w:rPr>
              <w:t> </w:t>
            </w:r>
            <w:r>
              <w:rPr>
                <w:sz w:val="24"/>
              </w:rPr>
              <w:t>D.R.,</w:t>
            </w:r>
            <w:r>
              <w:rPr>
                <w:spacing w:val="-5"/>
                <w:sz w:val="24"/>
              </w:rPr>
              <w:t> </w:t>
            </w:r>
            <w:r>
              <w:rPr>
                <w:sz w:val="24"/>
              </w:rPr>
              <w:t>Sumner,</w:t>
            </w:r>
            <w:r>
              <w:rPr>
                <w:spacing w:val="-6"/>
                <w:sz w:val="24"/>
              </w:rPr>
              <w:t> </w:t>
            </w:r>
            <w:r>
              <w:rPr>
                <w:sz w:val="24"/>
              </w:rPr>
              <w:t>A. (1998)</w:t>
            </w:r>
            <w:r>
              <w:rPr>
                <w:spacing w:val="-4"/>
                <w:sz w:val="24"/>
              </w:rPr>
              <w:t> </w:t>
            </w:r>
            <w:r>
              <w:rPr>
                <w:sz w:val="24"/>
              </w:rPr>
              <w:t>Outcome</w:t>
            </w:r>
            <w:r>
              <w:rPr>
                <w:spacing w:val="-5"/>
                <w:sz w:val="24"/>
              </w:rPr>
              <w:t> </w:t>
            </w:r>
            <w:r>
              <w:rPr>
                <w:sz w:val="24"/>
              </w:rPr>
              <w:t>of</w:t>
            </w:r>
            <w:r>
              <w:rPr>
                <w:spacing w:val="-3"/>
                <w:sz w:val="24"/>
              </w:rPr>
              <w:t> </w:t>
            </w:r>
            <w:r>
              <w:rPr>
                <w:sz w:val="24"/>
              </w:rPr>
              <w:t>intensive</w:t>
            </w:r>
            <w:r>
              <w:rPr>
                <w:spacing w:val="-3"/>
                <w:sz w:val="24"/>
              </w:rPr>
              <w:t> </w:t>
            </w:r>
            <w:r>
              <w:rPr>
                <w:sz w:val="24"/>
              </w:rPr>
              <w:t>care</w:t>
            </w:r>
            <w:r>
              <w:rPr>
                <w:spacing w:val="-5"/>
                <w:sz w:val="24"/>
              </w:rPr>
              <w:t> </w:t>
            </w:r>
            <w:r>
              <w:rPr>
                <w:sz w:val="24"/>
              </w:rPr>
              <w:t>patients</w:t>
            </w:r>
            <w:r>
              <w:rPr>
                <w:spacing w:val="-5"/>
                <w:sz w:val="24"/>
              </w:rPr>
              <w:t> </w:t>
            </w:r>
            <w:r>
              <w:rPr>
                <w:sz w:val="24"/>
              </w:rPr>
              <w:t>in</w:t>
            </w:r>
            <w:r>
              <w:rPr>
                <w:spacing w:val="-3"/>
                <w:sz w:val="24"/>
              </w:rPr>
              <w:t> </w:t>
            </w:r>
            <w:r>
              <w:rPr>
                <w:sz w:val="24"/>
              </w:rPr>
              <w:t>a group of British intensive care units. Critical Care Medicine; 26: 8, 1337- </w:t>
            </w:r>
            <w:r>
              <w:rPr>
                <w:spacing w:val="-2"/>
                <w:sz w:val="24"/>
              </w:rPr>
              <w:t>1345.</w:t>
            </w:r>
          </w:p>
          <w:p>
            <w:pPr>
              <w:pStyle w:val="TableParagraph"/>
              <w:spacing w:before="2"/>
              <w:rPr>
                <w:rFonts w:ascii="Arial"/>
                <w:b/>
                <w:sz w:val="24"/>
              </w:rPr>
            </w:pPr>
          </w:p>
          <w:p>
            <w:pPr>
              <w:pStyle w:val="TableParagraph"/>
              <w:spacing w:line="256" w:lineRule="exact"/>
              <w:ind w:left="50"/>
              <w:rPr>
                <w:sz w:val="24"/>
              </w:rPr>
            </w:pPr>
            <w:r>
              <w:rPr>
                <w:sz w:val="24"/>
              </w:rPr>
              <w:t>Goldhill,</w:t>
            </w:r>
            <w:r>
              <w:rPr>
                <w:spacing w:val="-8"/>
                <w:sz w:val="24"/>
              </w:rPr>
              <w:t> </w:t>
            </w:r>
            <w:r>
              <w:rPr>
                <w:sz w:val="24"/>
              </w:rPr>
              <w:t>D.R.</w:t>
            </w:r>
            <w:r>
              <w:rPr>
                <w:spacing w:val="-8"/>
                <w:sz w:val="24"/>
              </w:rPr>
              <w:t> </w:t>
            </w:r>
            <w:r>
              <w:rPr>
                <w:sz w:val="24"/>
              </w:rPr>
              <w:t>et</w:t>
            </w:r>
            <w:r>
              <w:rPr>
                <w:spacing w:val="-7"/>
                <w:sz w:val="24"/>
              </w:rPr>
              <w:t> </w:t>
            </w:r>
            <w:r>
              <w:rPr>
                <w:sz w:val="24"/>
              </w:rPr>
              <w:t>al</w:t>
            </w:r>
            <w:r>
              <w:rPr>
                <w:spacing w:val="-7"/>
                <w:sz w:val="24"/>
              </w:rPr>
              <w:t> </w:t>
            </w:r>
            <w:r>
              <w:rPr>
                <w:sz w:val="24"/>
              </w:rPr>
              <w:t>(1999)</w:t>
            </w:r>
            <w:r>
              <w:rPr>
                <w:spacing w:val="-8"/>
                <w:sz w:val="24"/>
              </w:rPr>
              <w:t> </w:t>
            </w:r>
            <w:r>
              <w:rPr>
                <w:sz w:val="24"/>
              </w:rPr>
              <w:t>Physiological</w:t>
            </w:r>
            <w:r>
              <w:rPr>
                <w:spacing w:val="-8"/>
                <w:sz w:val="24"/>
              </w:rPr>
              <w:t> </w:t>
            </w:r>
            <w:r>
              <w:rPr>
                <w:sz w:val="24"/>
              </w:rPr>
              <w:t>values</w:t>
            </w:r>
            <w:r>
              <w:rPr>
                <w:spacing w:val="-8"/>
                <w:sz w:val="24"/>
              </w:rPr>
              <w:t> </w:t>
            </w:r>
            <w:r>
              <w:rPr>
                <w:sz w:val="24"/>
              </w:rPr>
              <w:t>and</w:t>
            </w:r>
            <w:r>
              <w:rPr>
                <w:spacing w:val="-10"/>
                <w:sz w:val="24"/>
              </w:rPr>
              <w:t> </w:t>
            </w:r>
            <w:r>
              <w:rPr>
                <w:sz w:val="24"/>
              </w:rPr>
              <w:t>procedures</w:t>
            </w:r>
            <w:r>
              <w:rPr>
                <w:spacing w:val="-8"/>
                <w:sz w:val="24"/>
              </w:rPr>
              <w:t> </w:t>
            </w:r>
            <w:r>
              <w:rPr>
                <w:sz w:val="24"/>
              </w:rPr>
              <w:t>in</w:t>
            </w:r>
            <w:r>
              <w:rPr>
                <w:spacing w:val="-8"/>
                <w:sz w:val="24"/>
              </w:rPr>
              <w:t> </w:t>
            </w:r>
            <w:r>
              <w:rPr>
                <w:sz w:val="24"/>
              </w:rPr>
              <w:t>the</w:t>
            </w:r>
            <w:r>
              <w:rPr>
                <w:spacing w:val="-8"/>
                <w:sz w:val="24"/>
              </w:rPr>
              <w:t> </w:t>
            </w:r>
            <w:r>
              <w:rPr>
                <w:spacing w:val="-5"/>
                <w:sz w:val="24"/>
              </w:rPr>
              <w:t>24</w:t>
            </w:r>
          </w:p>
        </w:tc>
      </w:tr>
    </w:tbl>
    <w:p>
      <w:pPr>
        <w:pStyle w:val="TableParagraph"/>
        <w:spacing w:after="0" w:line="256" w:lineRule="exact"/>
        <w:rPr>
          <w:sz w:val="24"/>
        </w:rPr>
        <w:sectPr>
          <w:pgSz w:w="11910" w:h="16840"/>
          <w:pgMar w:header="0" w:footer="955" w:top="800" w:bottom="1140" w:left="425" w:right="566"/>
        </w:sectPr>
      </w:pPr>
    </w:p>
    <w:p>
      <w:pPr>
        <w:pStyle w:val="BodyText"/>
        <w:spacing w:before="77"/>
        <w:ind w:left="1898"/>
      </w:pPr>
      <w:r>
        <w:rPr/>
        <w:t>hours</w:t>
      </w:r>
      <w:r>
        <w:rPr>
          <w:spacing w:val="-4"/>
        </w:rPr>
        <w:t> </w:t>
      </w:r>
      <w:r>
        <w:rPr/>
        <w:t>before</w:t>
      </w:r>
      <w:r>
        <w:rPr>
          <w:spacing w:val="-7"/>
        </w:rPr>
        <w:t> </w:t>
      </w:r>
      <w:r>
        <w:rPr/>
        <w:t>ICU</w:t>
      </w:r>
      <w:r>
        <w:rPr>
          <w:spacing w:val="-5"/>
        </w:rPr>
        <w:t> </w:t>
      </w:r>
      <w:r>
        <w:rPr/>
        <w:t>admission</w:t>
      </w:r>
      <w:r>
        <w:rPr>
          <w:spacing w:val="-5"/>
        </w:rPr>
        <w:t> </w:t>
      </w:r>
      <w:r>
        <w:rPr/>
        <w:t>from</w:t>
      </w:r>
      <w:r>
        <w:rPr>
          <w:spacing w:val="-2"/>
        </w:rPr>
        <w:t> </w:t>
      </w:r>
      <w:r>
        <w:rPr/>
        <w:t>the</w:t>
      </w:r>
      <w:r>
        <w:rPr>
          <w:spacing w:val="-4"/>
        </w:rPr>
        <w:t> </w:t>
      </w:r>
      <w:r>
        <w:rPr/>
        <w:t>ward.</w:t>
      </w:r>
      <w:r>
        <w:rPr>
          <w:spacing w:val="1"/>
        </w:rPr>
        <w:t> </w:t>
      </w:r>
      <w:r>
        <w:rPr/>
        <w:t>Anaesthesia;</w:t>
      </w:r>
      <w:r>
        <w:rPr>
          <w:spacing w:val="-6"/>
        </w:rPr>
        <w:t> </w:t>
      </w:r>
      <w:r>
        <w:rPr/>
        <w:t>54:</w:t>
      </w:r>
      <w:r>
        <w:rPr>
          <w:spacing w:val="-4"/>
        </w:rPr>
        <w:t> </w:t>
      </w:r>
      <w:r>
        <w:rPr/>
        <w:t>6,</w:t>
      </w:r>
      <w:r>
        <w:rPr>
          <w:spacing w:val="-6"/>
        </w:rPr>
        <w:t> </w:t>
      </w:r>
      <w:r>
        <w:rPr/>
        <w:t>529-</w:t>
      </w:r>
      <w:r>
        <w:rPr>
          <w:spacing w:val="-4"/>
        </w:rPr>
        <w:t>534.</w:t>
      </w:r>
    </w:p>
    <w:p>
      <w:pPr>
        <w:pStyle w:val="BodyText"/>
        <w:spacing w:before="2"/>
      </w:pPr>
    </w:p>
    <w:p>
      <w:pPr>
        <w:pStyle w:val="BodyText"/>
        <w:ind w:left="1898"/>
      </w:pPr>
      <w:r>
        <w:rPr/>
        <w:t>Goldhill,</w:t>
      </w:r>
      <w:r>
        <w:rPr>
          <w:spacing w:val="-4"/>
        </w:rPr>
        <w:t> </w:t>
      </w:r>
      <w:r>
        <w:rPr/>
        <w:t>D.R.,</w:t>
      </w:r>
      <w:r>
        <w:rPr>
          <w:spacing w:val="-4"/>
        </w:rPr>
        <w:t> </w:t>
      </w:r>
      <w:r>
        <w:rPr/>
        <w:t>McNarry,</w:t>
      </w:r>
      <w:r>
        <w:rPr>
          <w:spacing w:val="-4"/>
        </w:rPr>
        <w:t> </w:t>
      </w:r>
      <w:r>
        <w:rPr/>
        <w:t>A.</w:t>
      </w:r>
      <w:r>
        <w:rPr>
          <w:spacing w:val="-2"/>
        </w:rPr>
        <w:t> </w:t>
      </w:r>
      <w:r>
        <w:rPr/>
        <w:t>(2002)</w:t>
      </w:r>
      <w:r>
        <w:rPr>
          <w:spacing w:val="-5"/>
        </w:rPr>
        <w:t> </w:t>
      </w:r>
      <w:r>
        <w:rPr/>
        <w:t>Intensive</w:t>
      </w:r>
      <w:r>
        <w:rPr>
          <w:spacing w:val="-4"/>
        </w:rPr>
        <w:t> </w:t>
      </w:r>
      <w:r>
        <w:rPr/>
        <w:t>care</w:t>
      </w:r>
      <w:r>
        <w:rPr>
          <w:spacing w:val="-4"/>
        </w:rPr>
        <w:t> </w:t>
      </w:r>
      <w:r>
        <w:rPr/>
        <w:t>outreach</w:t>
      </w:r>
      <w:r>
        <w:rPr>
          <w:spacing w:val="-6"/>
        </w:rPr>
        <w:t> </w:t>
      </w:r>
      <w:r>
        <w:rPr/>
        <w:t>services. Current Anaesthesia and Critical Care; 13: 6, 356-361.</w:t>
      </w:r>
    </w:p>
    <w:p>
      <w:pPr>
        <w:pStyle w:val="BodyText"/>
        <w:spacing w:before="6"/>
      </w:pPr>
    </w:p>
    <w:p>
      <w:pPr>
        <w:pStyle w:val="BodyText"/>
        <w:ind w:left="1898" w:right="956"/>
      </w:pPr>
      <w:r>
        <w:rPr/>
        <w:t>Hillman,</w:t>
      </w:r>
      <w:r>
        <w:rPr>
          <w:spacing w:val="-3"/>
        </w:rPr>
        <w:t> </w:t>
      </w:r>
      <w:r>
        <w:rPr/>
        <w:t>K.M.</w:t>
      </w:r>
      <w:r>
        <w:rPr>
          <w:spacing w:val="-3"/>
        </w:rPr>
        <w:t> </w:t>
      </w:r>
      <w:r>
        <w:rPr/>
        <w:t>et</w:t>
      </w:r>
      <w:r>
        <w:rPr>
          <w:spacing w:val="-5"/>
        </w:rPr>
        <w:t> </w:t>
      </w:r>
      <w:r>
        <w:rPr/>
        <w:t>al</w:t>
      </w:r>
      <w:r>
        <w:rPr>
          <w:spacing w:val="-2"/>
        </w:rPr>
        <w:t> </w:t>
      </w:r>
      <w:r>
        <w:rPr/>
        <w:t>(2001)</w:t>
      </w:r>
      <w:r>
        <w:rPr>
          <w:spacing w:val="-4"/>
        </w:rPr>
        <w:t> </w:t>
      </w:r>
      <w:r>
        <w:rPr/>
        <w:t>Antecedents</w:t>
      </w:r>
      <w:r>
        <w:rPr>
          <w:spacing w:val="-4"/>
        </w:rPr>
        <w:t> </w:t>
      </w:r>
      <w:r>
        <w:rPr/>
        <w:t>to</w:t>
      </w:r>
      <w:r>
        <w:rPr>
          <w:spacing w:val="-5"/>
        </w:rPr>
        <w:t> </w:t>
      </w:r>
      <w:r>
        <w:rPr/>
        <w:t>hospital</w:t>
      </w:r>
      <w:r>
        <w:rPr>
          <w:spacing w:val="-4"/>
        </w:rPr>
        <w:t> </w:t>
      </w:r>
      <w:r>
        <w:rPr/>
        <w:t>deaths. Internal</w:t>
      </w:r>
      <w:r>
        <w:rPr>
          <w:spacing w:val="-6"/>
        </w:rPr>
        <w:t> </w:t>
      </w:r>
      <w:r>
        <w:rPr/>
        <w:t>Medicine Journal; 31:6, 343-348.</w:t>
      </w:r>
    </w:p>
    <w:p>
      <w:pPr>
        <w:pStyle w:val="BodyText"/>
        <w:spacing w:before="4"/>
      </w:pPr>
    </w:p>
    <w:p>
      <w:pPr>
        <w:pStyle w:val="BodyText"/>
        <w:spacing w:before="1"/>
        <w:ind w:left="1898" w:right="956"/>
      </w:pPr>
      <w:r>
        <w:rPr/>
        <w:t>Hillman,</w:t>
      </w:r>
      <w:r>
        <w:rPr>
          <w:spacing w:val="-3"/>
        </w:rPr>
        <w:t> </w:t>
      </w:r>
      <w:r>
        <w:rPr/>
        <w:t>K.M.</w:t>
      </w:r>
      <w:r>
        <w:rPr>
          <w:spacing w:val="-3"/>
        </w:rPr>
        <w:t> </w:t>
      </w:r>
      <w:r>
        <w:rPr/>
        <w:t>et</w:t>
      </w:r>
      <w:r>
        <w:rPr>
          <w:spacing w:val="-5"/>
        </w:rPr>
        <w:t> </w:t>
      </w:r>
      <w:r>
        <w:rPr/>
        <w:t>al</w:t>
      </w:r>
      <w:r>
        <w:rPr>
          <w:spacing w:val="-1"/>
        </w:rPr>
        <w:t> </w:t>
      </w:r>
      <w:r>
        <w:rPr/>
        <w:t>(1996)</w:t>
      </w:r>
      <w:r>
        <w:rPr>
          <w:spacing w:val="-4"/>
        </w:rPr>
        <w:t> </w:t>
      </w:r>
      <w:r>
        <w:rPr/>
        <w:t>Identifying</w:t>
      </w:r>
      <w:r>
        <w:rPr>
          <w:spacing w:val="-4"/>
        </w:rPr>
        <w:t> </w:t>
      </w:r>
      <w:r>
        <w:rPr/>
        <w:t>the</w:t>
      </w:r>
      <w:r>
        <w:rPr>
          <w:spacing w:val="-3"/>
        </w:rPr>
        <w:t> </w:t>
      </w:r>
      <w:r>
        <w:rPr/>
        <w:t>general</w:t>
      </w:r>
      <w:r>
        <w:rPr>
          <w:spacing w:val="-3"/>
        </w:rPr>
        <w:t> </w:t>
      </w:r>
      <w:r>
        <w:rPr/>
        <w:t>ward</w:t>
      </w:r>
      <w:r>
        <w:rPr>
          <w:spacing w:val="-3"/>
        </w:rPr>
        <w:t> </w:t>
      </w:r>
      <w:r>
        <w:rPr/>
        <w:t>patient</w:t>
      </w:r>
      <w:r>
        <w:rPr>
          <w:spacing w:val="-3"/>
        </w:rPr>
        <w:t> </w:t>
      </w:r>
      <w:r>
        <w:rPr/>
        <w:t>at</w:t>
      </w:r>
      <w:r>
        <w:rPr>
          <w:spacing w:val="-5"/>
        </w:rPr>
        <w:t> </w:t>
      </w:r>
      <w:r>
        <w:rPr/>
        <w:t>risk</w:t>
      </w:r>
      <w:r>
        <w:rPr>
          <w:spacing w:val="-3"/>
        </w:rPr>
        <w:t> </w:t>
      </w:r>
      <w:r>
        <w:rPr/>
        <w:t>of cardiac arrest. Clinical Intensive Care; 7: 242-243.</w:t>
      </w:r>
    </w:p>
    <w:p>
      <w:pPr>
        <w:pStyle w:val="BodyText"/>
        <w:spacing w:before="2"/>
      </w:pPr>
    </w:p>
    <w:p>
      <w:pPr>
        <w:pStyle w:val="BodyText"/>
        <w:ind w:left="1898"/>
      </w:pPr>
      <w:r>
        <w:rPr/>
        <w:t>Intensive</w:t>
      </w:r>
      <w:r>
        <w:rPr>
          <w:spacing w:val="-4"/>
        </w:rPr>
        <w:t> </w:t>
      </w:r>
      <w:r>
        <w:rPr/>
        <w:t>Care</w:t>
      </w:r>
      <w:r>
        <w:rPr>
          <w:spacing w:val="-4"/>
        </w:rPr>
        <w:t> </w:t>
      </w:r>
      <w:r>
        <w:rPr/>
        <w:t>Society</w:t>
      </w:r>
      <w:r>
        <w:rPr>
          <w:spacing w:val="-4"/>
        </w:rPr>
        <w:t> </w:t>
      </w:r>
      <w:r>
        <w:rPr/>
        <w:t>(2002)</w:t>
      </w:r>
      <w:r>
        <w:rPr>
          <w:spacing w:val="-6"/>
        </w:rPr>
        <w:t> </w:t>
      </w:r>
      <w:r>
        <w:rPr/>
        <w:t>Guidelines</w:t>
      </w:r>
      <w:r>
        <w:rPr>
          <w:spacing w:val="-5"/>
        </w:rPr>
        <w:t> </w:t>
      </w:r>
      <w:r>
        <w:rPr/>
        <w:t>for</w:t>
      </w:r>
      <w:r>
        <w:rPr>
          <w:spacing w:val="-4"/>
        </w:rPr>
        <w:t> </w:t>
      </w:r>
      <w:r>
        <w:rPr/>
        <w:t>the</w:t>
      </w:r>
      <w:r>
        <w:rPr>
          <w:spacing w:val="-4"/>
        </w:rPr>
        <w:t> </w:t>
      </w:r>
      <w:r>
        <w:rPr/>
        <w:t>Introduction</w:t>
      </w:r>
      <w:r>
        <w:rPr>
          <w:spacing w:val="-5"/>
        </w:rPr>
        <w:t> </w:t>
      </w:r>
      <w:r>
        <w:rPr/>
        <w:t>of</w:t>
      </w:r>
      <w:r>
        <w:rPr>
          <w:spacing w:val="-4"/>
        </w:rPr>
        <w:t> </w:t>
      </w:r>
      <w:r>
        <w:rPr/>
        <w:t>Outreach </w:t>
      </w:r>
      <w:r>
        <w:rPr>
          <w:spacing w:val="-2"/>
        </w:rPr>
        <w:t>Services.</w:t>
      </w:r>
      <w:hyperlink r:id="rId28">
        <w:r>
          <w:rPr>
            <w:color w:val="0000FF"/>
            <w:spacing w:val="-2"/>
            <w:u w:val="single" w:color="0000FF"/>
          </w:rPr>
          <w:t>www.ics.ac.uk</w:t>
        </w:r>
      </w:hyperlink>
    </w:p>
    <w:p>
      <w:pPr>
        <w:pStyle w:val="BodyText"/>
        <w:spacing w:before="5"/>
      </w:pPr>
    </w:p>
    <w:p>
      <w:pPr>
        <w:pStyle w:val="BodyText"/>
        <w:ind w:left="1898" w:right="922"/>
      </w:pPr>
      <w:r>
        <w:rPr/>
        <w:t>McGloin, H. et al (1999) Unexpected deaths and referrals to intensive care of</w:t>
      </w:r>
      <w:r>
        <w:rPr>
          <w:spacing w:val="-2"/>
        </w:rPr>
        <w:t> </w:t>
      </w:r>
      <w:r>
        <w:rPr/>
        <w:t>patients</w:t>
      </w:r>
      <w:r>
        <w:rPr>
          <w:spacing w:val="-4"/>
        </w:rPr>
        <w:t> </w:t>
      </w:r>
      <w:r>
        <w:rPr/>
        <w:t>on</w:t>
      </w:r>
      <w:r>
        <w:rPr>
          <w:spacing w:val="-4"/>
        </w:rPr>
        <w:t> </w:t>
      </w:r>
      <w:r>
        <w:rPr/>
        <w:t>general</w:t>
      </w:r>
      <w:r>
        <w:rPr>
          <w:spacing w:val="-7"/>
        </w:rPr>
        <w:t> </w:t>
      </w:r>
      <w:r>
        <w:rPr/>
        <w:t>wards.</w:t>
      </w:r>
      <w:r>
        <w:rPr>
          <w:spacing w:val="-4"/>
        </w:rPr>
        <w:t> </w:t>
      </w:r>
      <w:r>
        <w:rPr/>
        <w:t>Are</w:t>
      </w:r>
      <w:r>
        <w:rPr>
          <w:spacing w:val="-4"/>
        </w:rPr>
        <w:t> </w:t>
      </w:r>
      <w:r>
        <w:rPr/>
        <w:t>some</w:t>
      </w:r>
      <w:r>
        <w:rPr>
          <w:spacing w:val="-4"/>
        </w:rPr>
        <w:t> </w:t>
      </w:r>
      <w:r>
        <w:rPr/>
        <w:t>cases</w:t>
      </w:r>
      <w:r>
        <w:rPr>
          <w:spacing w:val="-4"/>
        </w:rPr>
        <w:t> </w:t>
      </w:r>
      <w:r>
        <w:rPr/>
        <w:t>potentially</w:t>
      </w:r>
      <w:r>
        <w:rPr>
          <w:spacing w:val="-7"/>
        </w:rPr>
        <w:t> </w:t>
      </w:r>
      <w:r>
        <w:rPr/>
        <w:t>avoidable? Journal of The Royal College of Physicians of London; 33: 3, 255-259.</w:t>
      </w:r>
    </w:p>
    <w:p>
      <w:pPr>
        <w:pStyle w:val="BodyText"/>
        <w:spacing w:before="3"/>
      </w:pPr>
    </w:p>
    <w:p>
      <w:pPr>
        <w:pStyle w:val="BodyText"/>
        <w:ind w:left="1898" w:right="956"/>
      </w:pPr>
      <w:r>
        <w:rPr/>
        <w:t>McQuillan, P. et al (1998) Confidential inquiry into quality of care before admission</w:t>
      </w:r>
      <w:r>
        <w:rPr>
          <w:spacing w:val="-5"/>
        </w:rPr>
        <w:t> </w:t>
      </w:r>
      <w:r>
        <w:rPr/>
        <w:t>to</w:t>
      </w:r>
      <w:r>
        <w:rPr>
          <w:spacing w:val="-5"/>
        </w:rPr>
        <w:t> </w:t>
      </w:r>
      <w:r>
        <w:rPr/>
        <w:t>intensive</w:t>
      </w:r>
      <w:r>
        <w:rPr>
          <w:spacing w:val="-5"/>
        </w:rPr>
        <w:t> </w:t>
      </w:r>
      <w:r>
        <w:rPr/>
        <w:t>care. British</w:t>
      </w:r>
      <w:r>
        <w:rPr>
          <w:spacing w:val="-4"/>
        </w:rPr>
        <w:t> </w:t>
      </w:r>
      <w:r>
        <w:rPr/>
        <w:t>Medical</w:t>
      </w:r>
      <w:r>
        <w:rPr>
          <w:spacing w:val="-4"/>
        </w:rPr>
        <w:t> </w:t>
      </w:r>
      <w:r>
        <w:rPr/>
        <w:t>Journal;</w:t>
      </w:r>
      <w:r>
        <w:rPr>
          <w:spacing w:val="-6"/>
        </w:rPr>
        <w:t> </w:t>
      </w:r>
      <w:r>
        <w:rPr/>
        <w:t>316:</w:t>
      </w:r>
      <w:r>
        <w:rPr>
          <w:spacing w:val="-4"/>
        </w:rPr>
        <w:t> </w:t>
      </w:r>
      <w:r>
        <w:rPr/>
        <w:t>7148,</w:t>
      </w:r>
      <w:r>
        <w:rPr>
          <w:spacing w:val="-4"/>
        </w:rPr>
        <w:t> </w:t>
      </w:r>
      <w:r>
        <w:rPr/>
        <w:t>1853-1858.</w:t>
      </w:r>
    </w:p>
    <w:p>
      <w:pPr>
        <w:pStyle w:val="BodyText"/>
        <w:spacing w:before="5"/>
      </w:pPr>
    </w:p>
    <w:p>
      <w:pPr>
        <w:pStyle w:val="BodyText"/>
        <w:ind w:left="1898"/>
      </w:pPr>
      <w:r>
        <w:rPr/>
        <w:t>NCEPOD</w:t>
      </w:r>
      <w:r>
        <w:rPr>
          <w:spacing w:val="-9"/>
        </w:rPr>
        <w:t> </w:t>
      </w:r>
      <w:r>
        <w:rPr/>
        <w:t>(2005)</w:t>
      </w:r>
      <w:r>
        <w:rPr>
          <w:spacing w:val="-9"/>
        </w:rPr>
        <w:t> </w:t>
      </w:r>
      <w:r>
        <w:rPr/>
        <w:t>An</w:t>
      </w:r>
      <w:r>
        <w:rPr>
          <w:spacing w:val="-10"/>
        </w:rPr>
        <w:t> </w:t>
      </w:r>
      <w:r>
        <w:rPr/>
        <w:t>Acute</w:t>
      </w:r>
      <w:r>
        <w:rPr>
          <w:spacing w:val="-8"/>
        </w:rPr>
        <w:t> </w:t>
      </w:r>
      <w:r>
        <w:rPr/>
        <w:t>Problem?</w:t>
      </w:r>
      <w:r>
        <w:rPr>
          <w:spacing w:val="-5"/>
        </w:rPr>
        <w:t> </w:t>
      </w:r>
      <w:hyperlink r:id="rId29">
        <w:r>
          <w:rPr>
            <w:color w:val="0000FF"/>
            <w:spacing w:val="-2"/>
            <w:u w:val="single" w:color="0000FF"/>
          </w:rPr>
          <w:t>www.ncepod.org.uk</w:t>
        </w:r>
      </w:hyperlink>
    </w:p>
    <w:p>
      <w:pPr>
        <w:pStyle w:val="BodyText"/>
        <w:spacing w:before="43"/>
      </w:pPr>
    </w:p>
    <w:p>
      <w:pPr>
        <w:pStyle w:val="BodyText"/>
        <w:tabs>
          <w:tab w:pos="5727" w:val="left" w:leader="none"/>
        </w:tabs>
        <w:ind w:left="1898"/>
      </w:pPr>
      <w:r>
        <w:rPr/>
        <w:t>NCEPOD</w:t>
      </w:r>
      <w:r>
        <w:rPr>
          <w:spacing w:val="-7"/>
        </w:rPr>
        <w:t> </w:t>
      </w:r>
      <w:r>
        <w:rPr/>
        <w:t>(2008)</w:t>
      </w:r>
      <w:r>
        <w:rPr>
          <w:spacing w:val="-7"/>
        </w:rPr>
        <w:t> </w:t>
      </w:r>
      <w:r>
        <w:rPr/>
        <w:t>A</w:t>
      </w:r>
      <w:r>
        <w:rPr>
          <w:spacing w:val="-7"/>
        </w:rPr>
        <w:t> </w:t>
      </w:r>
      <w:r>
        <w:rPr/>
        <w:t>Sickle</w:t>
      </w:r>
      <w:r>
        <w:rPr>
          <w:spacing w:val="-7"/>
        </w:rPr>
        <w:t> </w:t>
      </w:r>
      <w:r>
        <w:rPr>
          <w:spacing w:val="-2"/>
        </w:rPr>
        <w:t>Crisis?</w:t>
      </w:r>
      <w:r>
        <w:rPr/>
        <w:tab/>
      </w:r>
      <w:hyperlink r:id="rId29">
        <w:r>
          <w:rPr>
            <w:color w:val="0000FF"/>
            <w:spacing w:val="-2"/>
            <w:u w:val="single" w:color="0000FF"/>
          </w:rPr>
          <w:t>www.ncepod.org.uk</w:t>
        </w:r>
      </w:hyperlink>
    </w:p>
    <w:p>
      <w:pPr>
        <w:pStyle w:val="BodyText"/>
        <w:spacing w:before="12"/>
      </w:pPr>
    </w:p>
    <w:p>
      <w:pPr>
        <w:pStyle w:val="BodyText"/>
        <w:ind w:left="1898" w:right="875"/>
      </w:pPr>
      <w:r>
        <w:rPr/>
        <w:t>NICE</w:t>
      </w:r>
      <w:r>
        <w:rPr>
          <w:spacing w:val="-3"/>
        </w:rPr>
        <w:t> </w:t>
      </w:r>
      <w:r>
        <w:rPr/>
        <w:t>(2007)</w:t>
      </w:r>
      <w:r>
        <w:rPr>
          <w:spacing w:val="-6"/>
        </w:rPr>
        <w:t> </w:t>
      </w:r>
      <w:r>
        <w:rPr/>
        <w:t>Acutely</w:t>
      </w:r>
      <w:r>
        <w:rPr>
          <w:spacing w:val="-6"/>
        </w:rPr>
        <w:t> </w:t>
      </w:r>
      <w:r>
        <w:rPr/>
        <w:t>Ill</w:t>
      </w:r>
      <w:r>
        <w:rPr>
          <w:spacing w:val="-2"/>
        </w:rPr>
        <w:t> </w:t>
      </w:r>
      <w:r>
        <w:rPr/>
        <w:t>Patients</w:t>
      </w:r>
      <w:r>
        <w:rPr>
          <w:spacing w:val="-3"/>
        </w:rPr>
        <w:t> </w:t>
      </w:r>
      <w:r>
        <w:rPr/>
        <w:t>in</w:t>
      </w:r>
      <w:r>
        <w:rPr>
          <w:spacing w:val="-3"/>
        </w:rPr>
        <w:t> </w:t>
      </w:r>
      <w:r>
        <w:rPr/>
        <w:t>Hospital:</w:t>
      </w:r>
      <w:r>
        <w:rPr>
          <w:spacing w:val="-6"/>
        </w:rPr>
        <w:t> </w:t>
      </w:r>
      <w:r>
        <w:rPr/>
        <w:t>Recognition</w:t>
      </w:r>
      <w:r>
        <w:rPr>
          <w:spacing w:val="-4"/>
        </w:rPr>
        <w:t> </w:t>
      </w:r>
      <w:r>
        <w:rPr/>
        <w:t>and</w:t>
      </w:r>
      <w:r>
        <w:rPr>
          <w:spacing w:val="-5"/>
        </w:rPr>
        <w:t> </w:t>
      </w:r>
      <w:r>
        <w:rPr/>
        <w:t>Response</w:t>
      </w:r>
      <w:r>
        <w:rPr>
          <w:spacing w:val="-3"/>
        </w:rPr>
        <w:t> </w:t>
      </w:r>
      <w:r>
        <w:rPr/>
        <w:t>to Acute Illness in Adults in Hospital. </w:t>
      </w:r>
      <w:hyperlink r:id="rId30">
        <w:r>
          <w:rPr>
            <w:color w:val="0000FF"/>
            <w:u w:val="single" w:color="0000FF"/>
          </w:rPr>
          <w:t>www.nice.org.uk</w:t>
        </w:r>
      </w:hyperlink>
    </w:p>
    <w:p>
      <w:pPr>
        <w:pStyle w:val="BodyText"/>
        <w:spacing w:before="3"/>
      </w:pPr>
    </w:p>
    <w:p>
      <w:pPr>
        <w:pStyle w:val="BodyText"/>
        <w:ind w:left="1898" w:right="956"/>
      </w:pPr>
      <w:r>
        <w:rPr/>
        <w:t>National Patient Safety Agency (2007a) Safer Care for the Acutely Ill Patient:</w:t>
      </w:r>
      <w:r>
        <w:rPr>
          <w:spacing w:val="-3"/>
        </w:rPr>
        <w:t> </w:t>
      </w:r>
      <w:r>
        <w:rPr/>
        <w:t>Learning</w:t>
      </w:r>
      <w:r>
        <w:rPr>
          <w:spacing w:val="-6"/>
        </w:rPr>
        <w:t> </w:t>
      </w:r>
      <w:r>
        <w:rPr/>
        <w:t>from</w:t>
      </w:r>
      <w:r>
        <w:rPr>
          <w:spacing w:val="-4"/>
        </w:rPr>
        <w:t> </w:t>
      </w:r>
      <w:r>
        <w:rPr/>
        <w:t>Serious</w:t>
      </w:r>
      <w:r>
        <w:rPr>
          <w:spacing w:val="-3"/>
        </w:rPr>
        <w:t> </w:t>
      </w:r>
      <w:r>
        <w:rPr/>
        <w:t>Incidents.</w:t>
      </w:r>
      <w:r>
        <w:rPr>
          <w:spacing w:val="-5"/>
        </w:rPr>
        <w:t> </w:t>
      </w:r>
      <w:r>
        <w:rPr/>
        <w:t>5th</w:t>
      </w:r>
      <w:r>
        <w:rPr>
          <w:spacing w:val="-4"/>
        </w:rPr>
        <w:t> </w:t>
      </w:r>
      <w:r>
        <w:rPr/>
        <w:t>Report</w:t>
      </w:r>
      <w:r>
        <w:rPr>
          <w:spacing w:val="-6"/>
        </w:rPr>
        <w:t> </w:t>
      </w:r>
      <w:r>
        <w:rPr/>
        <w:t>from</w:t>
      </w:r>
      <w:r>
        <w:rPr>
          <w:spacing w:val="-2"/>
        </w:rPr>
        <w:t> </w:t>
      </w:r>
      <w:r>
        <w:rPr/>
        <w:t>the</w:t>
      </w:r>
      <w:r>
        <w:rPr>
          <w:spacing w:val="-5"/>
        </w:rPr>
        <w:t> </w:t>
      </w:r>
      <w:r>
        <w:rPr/>
        <w:t>Patient</w:t>
      </w:r>
      <w:r>
        <w:rPr>
          <w:spacing w:val="-3"/>
        </w:rPr>
        <w:t> </w:t>
      </w:r>
      <w:r>
        <w:rPr/>
        <w:t>Safety Observatory. </w:t>
      </w:r>
      <w:hyperlink r:id="rId31">
        <w:r>
          <w:rPr>
            <w:color w:val="0000FF"/>
            <w:u w:val="single" w:color="0000FF"/>
          </w:rPr>
          <w:t>www.npsa.nhs.uk</w:t>
        </w:r>
      </w:hyperlink>
    </w:p>
    <w:p>
      <w:pPr>
        <w:pStyle w:val="BodyText"/>
        <w:spacing w:before="5"/>
      </w:pPr>
    </w:p>
    <w:p>
      <w:pPr>
        <w:pStyle w:val="BodyText"/>
        <w:ind w:left="1898"/>
      </w:pPr>
      <w:r>
        <w:rPr/>
        <w:t>National</w:t>
      </w:r>
      <w:r>
        <w:rPr>
          <w:spacing w:val="-7"/>
        </w:rPr>
        <w:t> </w:t>
      </w:r>
      <w:r>
        <w:rPr/>
        <w:t>Patient</w:t>
      </w:r>
      <w:r>
        <w:rPr>
          <w:spacing w:val="-5"/>
        </w:rPr>
        <w:t> </w:t>
      </w:r>
      <w:r>
        <w:rPr/>
        <w:t>Safety</w:t>
      </w:r>
      <w:r>
        <w:rPr>
          <w:spacing w:val="-7"/>
        </w:rPr>
        <w:t> </w:t>
      </w:r>
      <w:r>
        <w:rPr/>
        <w:t>Agency</w:t>
      </w:r>
      <w:r>
        <w:rPr>
          <w:spacing w:val="-4"/>
        </w:rPr>
        <w:t> </w:t>
      </w:r>
      <w:r>
        <w:rPr/>
        <w:t>(2007b)</w:t>
      </w:r>
      <w:r>
        <w:rPr>
          <w:spacing w:val="-4"/>
        </w:rPr>
        <w:t> </w:t>
      </w:r>
      <w:r>
        <w:rPr/>
        <w:t>Nutritional</w:t>
      </w:r>
      <w:r>
        <w:rPr>
          <w:spacing w:val="-5"/>
        </w:rPr>
        <w:t> </w:t>
      </w:r>
      <w:r>
        <w:rPr/>
        <w:t>Screening:</w:t>
      </w:r>
      <w:r>
        <w:rPr>
          <w:spacing w:val="-7"/>
        </w:rPr>
        <w:t> </w:t>
      </w:r>
      <w:r>
        <w:rPr/>
        <w:t>Structured Investigation Project. </w:t>
      </w:r>
      <w:hyperlink r:id="rId32">
        <w:r>
          <w:rPr>
            <w:color w:val="0000FF"/>
            <w:u w:val="single" w:color="0000FF"/>
          </w:rPr>
          <w:t>www.npsa.nhs.uk</w:t>
        </w:r>
      </w:hyperlink>
    </w:p>
    <w:p>
      <w:pPr>
        <w:pStyle w:val="BodyText"/>
        <w:spacing w:before="5"/>
      </w:pPr>
    </w:p>
    <w:p>
      <w:pPr>
        <w:pStyle w:val="BodyText"/>
        <w:ind w:left="1898" w:right="875"/>
      </w:pPr>
      <w:r>
        <w:rPr/>
        <w:t>O'Riordan,</w:t>
      </w:r>
      <w:r>
        <w:rPr>
          <w:spacing w:val="-5"/>
        </w:rPr>
        <w:t> </w:t>
      </w:r>
      <w:r>
        <w:rPr/>
        <w:t>B.</w:t>
      </w:r>
      <w:r>
        <w:rPr>
          <w:spacing w:val="-4"/>
        </w:rPr>
        <w:t> </w:t>
      </w:r>
      <w:r>
        <w:rPr/>
        <w:t>et</w:t>
      </w:r>
      <w:r>
        <w:rPr>
          <w:spacing w:val="-4"/>
        </w:rPr>
        <w:t> </w:t>
      </w:r>
      <w:r>
        <w:rPr/>
        <w:t>al</w:t>
      </w:r>
      <w:r>
        <w:rPr>
          <w:spacing w:val="-2"/>
        </w:rPr>
        <w:t> </w:t>
      </w:r>
      <w:r>
        <w:rPr/>
        <w:t>(2003)</w:t>
      </w:r>
      <w:r>
        <w:rPr>
          <w:spacing w:val="-4"/>
        </w:rPr>
        <w:t> </w:t>
      </w:r>
      <w:r>
        <w:rPr/>
        <w:t>Implementing</w:t>
      </w:r>
      <w:r>
        <w:rPr>
          <w:spacing w:val="-5"/>
        </w:rPr>
        <w:t> </w:t>
      </w:r>
      <w:r>
        <w:rPr/>
        <w:t>a</w:t>
      </w:r>
      <w:r>
        <w:rPr>
          <w:spacing w:val="-3"/>
        </w:rPr>
        <w:t> </w:t>
      </w:r>
      <w:r>
        <w:rPr/>
        <w:t>critical</w:t>
      </w:r>
      <w:r>
        <w:rPr>
          <w:spacing w:val="-4"/>
        </w:rPr>
        <w:t> </w:t>
      </w:r>
      <w:r>
        <w:rPr/>
        <w:t>care</w:t>
      </w:r>
      <w:r>
        <w:rPr>
          <w:spacing w:val="-4"/>
        </w:rPr>
        <w:t> </w:t>
      </w:r>
      <w:r>
        <w:rPr/>
        <w:t>course</w:t>
      </w:r>
      <w:r>
        <w:rPr>
          <w:spacing w:val="-5"/>
        </w:rPr>
        <w:t> </w:t>
      </w:r>
      <w:r>
        <w:rPr/>
        <w:t>for</w:t>
      </w:r>
      <w:r>
        <w:rPr>
          <w:spacing w:val="-4"/>
        </w:rPr>
        <w:t> </w:t>
      </w:r>
      <w:r>
        <w:rPr/>
        <w:t>ward nurses. Nursing Standard; 17: 20; 41-44.</w:t>
      </w:r>
    </w:p>
    <w:p>
      <w:pPr>
        <w:pStyle w:val="BodyText"/>
        <w:spacing w:before="3"/>
      </w:pPr>
    </w:p>
    <w:p>
      <w:pPr>
        <w:pStyle w:val="BodyText"/>
        <w:ind w:left="1898" w:right="956"/>
      </w:pPr>
      <w:r>
        <w:rPr/>
        <w:t>Parissopoulos,</w:t>
      </w:r>
      <w:r>
        <w:rPr>
          <w:spacing w:val="-5"/>
        </w:rPr>
        <w:t> </w:t>
      </w:r>
      <w:r>
        <w:rPr/>
        <w:t>S.,</w:t>
      </w:r>
      <w:r>
        <w:rPr>
          <w:spacing w:val="-3"/>
        </w:rPr>
        <w:t> </w:t>
      </w:r>
      <w:r>
        <w:rPr/>
        <w:t>Kotzabassaki,</w:t>
      </w:r>
      <w:r>
        <w:rPr>
          <w:spacing w:val="-3"/>
        </w:rPr>
        <w:t> </w:t>
      </w:r>
      <w:r>
        <w:rPr/>
        <w:t>S.</w:t>
      </w:r>
      <w:r>
        <w:rPr>
          <w:spacing w:val="-3"/>
        </w:rPr>
        <w:t> </w:t>
      </w:r>
      <w:r>
        <w:rPr/>
        <w:t>Critical</w:t>
      </w:r>
      <w:r>
        <w:rPr>
          <w:spacing w:val="-5"/>
        </w:rPr>
        <w:t> </w:t>
      </w:r>
      <w:r>
        <w:rPr/>
        <w:t>Care</w:t>
      </w:r>
      <w:r>
        <w:rPr>
          <w:spacing w:val="-3"/>
        </w:rPr>
        <w:t> </w:t>
      </w:r>
      <w:r>
        <w:rPr/>
        <w:t>Outreach</w:t>
      </w:r>
      <w:r>
        <w:rPr>
          <w:spacing w:val="-5"/>
        </w:rPr>
        <w:t> </w:t>
      </w:r>
      <w:r>
        <w:rPr/>
        <w:t>And</w:t>
      </w:r>
      <w:r>
        <w:rPr>
          <w:spacing w:val="-5"/>
        </w:rPr>
        <w:t> </w:t>
      </w:r>
      <w:r>
        <w:rPr/>
        <w:t>The</w:t>
      </w:r>
      <w:r>
        <w:rPr>
          <w:spacing w:val="-3"/>
        </w:rPr>
        <w:t> </w:t>
      </w:r>
      <w:r>
        <w:rPr/>
        <w:t>Use</w:t>
      </w:r>
      <w:r>
        <w:rPr>
          <w:spacing w:val="-3"/>
        </w:rPr>
        <w:t> </w:t>
      </w:r>
      <w:r>
        <w:rPr/>
        <w:t>Of Early Warning Scoring Systems; A Literature Review ICUS NURS WEB J issue 21January – march 2005</w:t>
      </w:r>
    </w:p>
    <w:p>
      <w:pPr>
        <w:pStyle w:val="BodyText"/>
      </w:pPr>
    </w:p>
    <w:p>
      <w:pPr>
        <w:pStyle w:val="BodyText"/>
        <w:ind w:left="1898" w:right="956"/>
      </w:pPr>
      <w:r>
        <w:rPr/>
        <w:t>Patient</w:t>
      </w:r>
      <w:r>
        <w:rPr>
          <w:spacing w:val="-3"/>
        </w:rPr>
        <w:t> </w:t>
      </w:r>
      <w:r>
        <w:rPr/>
        <w:t>Safety</w:t>
      </w:r>
      <w:r>
        <w:rPr>
          <w:spacing w:val="-5"/>
        </w:rPr>
        <w:t> </w:t>
      </w:r>
      <w:r>
        <w:rPr/>
        <w:t>First</w:t>
      </w:r>
      <w:r>
        <w:rPr>
          <w:spacing w:val="-3"/>
        </w:rPr>
        <w:t> </w:t>
      </w:r>
      <w:r>
        <w:rPr/>
        <w:t>Campaign</w:t>
      </w:r>
      <w:r>
        <w:rPr>
          <w:spacing w:val="-3"/>
        </w:rPr>
        <w:t> </w:t>
      </w:r>
      <w:r>
        <w:rPr/>
        <w:t>(2008)</w:t>
      </w:r>
      <w:r>
        <w:rPr>
          <w:spacing w:val="-6"/>
        </w:rPr>
        <w:t> </w:t>
      </w:r>
      <w:r>
        <w:rPr/>
        <w:t>The</w:t>
      </w:r>
      <w:r>
        <w:rPr>
          <w:spacing w:val="-2"/>
        </w:rPr>
        <w:t> </w:t>
      </w:r>
      <w:r>
        <w:rPr/>
        <w:t>‘how</w:t>
      </w:r>
      <w:r>
        <w:rPr>
          <w:spacing w:val="-6"/>
        </w:rPr>
        <w:t> </w:t>
      </w:r>
      <w:r>
        <w:rPr/>
        <w:t>to</w:t>
      </w:r>
      <w:r>
        <w:rPr>
          <w:spacing w:val="-3"/>
        </w:rPr>
        <w:t> </w:t>
      </w:r>
      <w:r>
        <w:rPr/>
        <w:t>guide’</w:t>
      </w:r>
      <w:r>
        <w:rPr>
          <w:spacing w:val="-3"/>
        </w:rPr>
        <w:t> </w:t>
      </w:r>
      <w:r>
        <w:rPr/>
        <w:t>for</w:t>
      </w:r>
      <w:r>
        <w:rPr>
          <w:spacing w:val="-3"/>
        </w:rPr>
        <w:t> </w:t>
      </w:r>
      <w:r>
        <w:rPr/>
        <w:t>Reducing</w:t>
      </w:r>
      <w:r>
        <w:rPr>
          <w:spacing w:val="-5"/>
        </w:rPr>
        <w:t> </w:t>
      </w:r>
      <w:r>
        <w:rPr/>
        <w:t>Harm From Deterioration. </w:t>
      </w:r>
      <w:hyperlink r:id="rId19">
        <w:r>
          <w:rPr>
            <w:color w:val="0000FF"/>
            <w:u w:val="single" w:color="0000FF"/>
          </w:rPr>
          <w:t>www.patientsafetyfirst.nhs.uk</w:t>
        </w:r>
      </w:hyperlink>
    </w:p>
    <w:p>
      <w:pPr>
        <w:pStyle w:val="BodyText"/>
      </w:pPr>
    </w:p>
    <w:p>
      <w:pPr>
        <w:pStyle w:val="BodyText"/>
        <w:ind w:left="1898" w:right="875"/>
      </w:pPr>
      <w:r>
        <w:rPr/>
        <w:t>Schein,</w:t>
      </w:r>
      <w:r>
        <w:rPr>
          <w:spacing w:val="-5"/>
        </w:rPr>
        <w:t> </w:t>
      </w:r>
      <w:r>
        <w:rPr/>
        <w:t>R.</w:t>
      </w:r>
      <w:r>
        <w:rPr>
          <w:spacing w:val="-3"/>
        </w:rPr>
        <w:t> </w:t>
      </w:r>
      <w:r>
        <w:rPr/>
        <w:t>et</w:t>
      </w:r>
      <w:r>
        <w:rPr>
          <w:spacing w:val="-5"/>
        </w:rPr>
        <w:t> </w:t>
      </w:r>
      <w:r>
        <w:rPr/>
        <w:t>al</w:t>
      </w:r>
      <w:r>
        <w:rPr>
          <w:spacing w:val="-1"/>
        </w:rPr>
        <w:t> </w:t>
      </w:r>
      <w:r>
        <w:rPr/>
        <w:t>(1990)</w:t>
      </w:r>
      <w:r>
        <w:rPr>
          <w:spacing w:val="-7"/>
        </w:rPr>
        <w:t> </w:t>
      </w:r>
      <w:r>
        <w:rPr/>
        <w:t>Clinical</w:t>
      </w:r>
      <w:r>
        <w:rPr>
          <w:spacing w:val="-3"/>
        </w:rPr>
        <w:t> </w:t>
      </w:r>
      <w:r>
        <w:rPr/>
        <w:t>antecedents</w:t>
      </w:r>
      <w:r>
        <w:rPr>
          <w:spacing w:val="-3"/>
        </w:rPr>
        <w:t> </w:t>
      </w:r>
      <w:r>
        <w:rPr/>
        <w:t>to</w:t>
      </w:r>
      <w:r>
        <w:rPr>
          <w:spacing w:val="-5"/>
        </w:rPr>
        <w:t> </w:t>
      </w:r>
      <w:r>
        <w:rPr/>
        <w:t>in-hospital</w:t>
      </w:r>
      <w:r>
        <w:rPr>
          <w:spacing w:val="-3"/>
        </w:rPr>
        <w:t> </w:t>
      </w:r>
      <w:r>
        <w:rPr/>
        <w:t>cardiopulmonary arrest. Chest; 98: 6, 1388-1392.</w:t>
      </w:r>
    </w:p>
    <w:p>
      <w:pPr>
        <w:pStyle w:val="BodyText"/>
        <w:spacing w:before="5"/>
      </w:pPr>
    </w:p>
    <w:p>
      <w:pPr>
        <w:pStyle w:val="BodyText"/>
        <w:ind w:left="1898"/>
      </w:pPr>
      <w:r>
        <w:rPr/>
        <w:t>Sherman,</w:t>
      </w:r>
      <w:r>
        <w:rPr>
          <w:spacing w:val="-7"/>
        </w:rPr>
        <w:t> </w:t>
      </w:r>
      <w:r>
        <w:rPr/>
        <w:t>F.T.</w:t>
      </w:r>
      <w:r>
        <w:rPr>
          <w:spacing w:val="-2"/>
        </w:rPr>
        <w:t> </w:t>
      </w:r>
      <w:r>
        <w:rPr/>
        <w:t>(2002)</w:t>
      </w:r>
      <w:r>
        <w:rPr>
          <w:spacing w:val="-8"/>
        </w:rPr>
        <w:t> </w:t>
      </w:r>
      <w:r>
        <w:rPr/>
        <w:t>Vital</w:t>
      </w:r>
      <w:r>
        <w:rPr>
          <w:spacing w:val="-5"/>
        </w:rPr>
        <w:t> </w:t>
      </w:r>
      <w:r>
        <w:rPr/>
        <w:t>signs</w:t>
      </w:r>
      <w:r>
        <w:rPr>
          <w:spacing w:val="-5"/>
        </w:rPr>
        <w:t> </w:t>
      </w:r>
      <w:r>
        <w:rPr/>
        <w:t>are</w:t>
      </w:r>
      <w:r>
        <w:rPr>
          <w:spacing w:val="-5"/>
        </w:rPr>
        <w:t> </w:t>
      </w:r>
      <w:r>
        <w:rPr/>
        <w:t>still-</w:t>
      </w:r>
      <w:r>
        <w:rPr>
          <w:spacing w:val="-7"/>
        </w:rPr>
        <w:t> </w:t>
      </w:r>
      <w:r>
        <w:rPr/>
        <w:t>well,</w:t>
      </w:r>
      <w:r>
        <w:rPr>
          <w:spacing w:val="-4"/>
        </w:rPr>
        <w:t> </w:t>
      </w:r>
      <w:r>
        <w:rPr/>
        <w:t>vital.</w:t>
      </w:r>
      <w:r>
        <w:rPr>
          <w:spacing w:val="-4"/>
        </w:rPr>
        <w:t> </w:t>
      </w:r>
      <w:r>
        <w:rPr/>
        <w:t>Geriatrics;</w:t>
      </w:r>
      <w:r>
        <w:rPr>
          <w:spacing w:val="-4"/>
        </w:rPr>
        <w:t> </w:t>
      </w:r>
      <w:r>
        <w:rPr/>
        <w:t>57:</w:t>
      </w:r>
      <w:r>
        <w:rPr>
          <w:spacing w:val="-7"/>
        </w:rPr>
        <w:t> </w:t>
      </w:r>
      <w:r>
        <w:rPr/>
        <w:t>3,</w:t>
      </w:r>
      <w:r>
        <w:rPr>
          <w:spacing w:val="-4"/>
        </w:rPr>
        <w:t> </w:t>
      </w:r>
      <w:r>
        <w:rPr>
          <w:spacing w:val="-5"/>
        </w:rPr>
        <w:t>9.</w:t>
      </w:r>
    </w:p>
    <w:p>
      <w:pPr>
        <w:pStyle w:val="BodyText"/>
        <w:spacing w:before="3"/>
      </w:pPr>
    </w:p>
    <w:p>
      <w:pPr>
        <w:pStyle w:val="BodyText"/>
        <w:ind w:left="1898" w:right="956"/>
      </w:pPr>
      <w:r>
        <w:rPr/>
        <w:t>Smith, G. et al (2006) Hospital-wide physiological surveillance - a new approach</w:t>
      </w:r>
      <w:r>
        <w:rPr>
          <w:spacing w:val="-3"/>
        </w:rPr>
        <w:t> </w:t>
      </w:r>
      <w:r>
        <w:rPr/>
        <w:t>to</w:t>
      </w:r>
      <w:r>
        <w:rPr>
          <w:spacing w:val="-3"/>
        </w:rPr>
        <w:t> </w:t>
      </w:r>
      <w:r>
        <w:rPr/>
        <w:t>the</w:t>
      </w:r>
      <w:r>
        <w:rPr>
          <w:spacing w:val="-5"/>
        </w:rPr>
        <w:t> </w:t>
      </w:r>
      <w:r>
        <w:rPr/>
        <w:t>early</w:t>
      </w:r>
      <w:r>
        <w:rPr>
          <w:spacing w:val="-6"/>
        </w:rPr>
        <w:t> </w:t>
      </w:r>
      <w:r>
        <w:rPr/>
        <w:t>identification</w:t>
      </w:r>
      <w:r>
        <w:rPr>
          <w:spacing w:val="-5"/>
        </w:rPr>
        <w:t> </w:t>
      </w:r>
      <w:r>
        <w:rPr/>
        <w:t>and</w:t>
      </w:r>
      <w:r>
        <w:rPr>
          <w:spacing w:val="-5"/>
        </w:rPr>
        <w:t> </w:t>
      </w:r>
      <w:r>
        <w:rPr/>
        <w:t>management</w:t>
      </w:r>
      <w:r>
        <w:rPr>
          <w:spacing w:val="-5"/>
        </w:rPr>
        <w:t> </w:t>
      </w:r>
      <w:r>
        <w:rPr/>
        <w:t>of</w:t>
      </w:r>
      <w:r>
        <w:rPr>
          <w:spacing w:val="-3"/>
        </w:rPr>
        <w:t> </w:t>
      </w:r>
      <w:r>
        <w:rPr/>
        <w:t>the</w:t>
      </w:r>
      <w:r>
        <w:rPr>
          <w:spacing w:val="-5"/>
        </w:rPr>
        <w:t> </w:t>
      </w:r>
      <w:r>
        <w:rPr/>
        <w:t>sick</w:t>
      </w:r>
      <w:r>
        <w:rPr>
          <w:spacing w:val="-3"/>
        </w:rPr>
        <w:t> </w:t>
      </w:r>
      <w:r>
        <w:rPr/>
        <w:t>patient.</w:t>
      </w:r>
    </w:p>
    <w:p>
      <w:pPr>
        <w:pStyle w:val="BodyText"/>
        <w:spacing w:after="0"/>
        <w:sectPr>
          <w:pgSz w:w="11910" w:h="16840"/>
          <w:pgMar w:header="0" w:footer="955" w:top="620" w:bottom="1140" w:left="425" w:right="566"/>
        </w:sectPr>
      </w:pPr>
    </w:p>
    <w:p>
      <w:pPr>
        <w:pStyle w:val="BodyText"/>
        <w:spacing w:before="2"/>
        <w:rPr>
          <w:sz w:val="2"/>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7"/>
        <w:gridCol w:w="8401"/>
      </w:tblGrid>
      <w:tr>
        <w:trPr>
          <w:trHeight w:val="2547" w:hRule="atLeast"/>
        </w:trPr>
        <w:tc>
          <w:tcPr>
            <w:tcW w:w="727" w:type="dxa"/>
          </w:tcPr>
          <w:p>
            <w:pPr>
              <w:pStyle w:val="TableParagraph"/>
              <w:rPr>
                <w:rFonts w:ascii="Times New Roman"/>
                <w:sz w:val="22"/>
              </w:rPr>
            </w:pPr>
          </w:p>
        </w:tc>
        <w:tc>
          <w:tcPr>
            <w:tcW w:w="8401" w:type="dxa"/>
          </w:tcPr>
          <w:p>
            <w:pPr>
              <w:pStyle w:val="TableParagraph"/>
              <w:spacing w:line="268" w:lineRule="exact"/>
              <w:ind w:left="206"/>
              <w:rPr>
                <w:sz w:val="24"/>
              </w:rPr>
            </w:pPr>
            <w:r>
              <w:rPr>
                <w:sz w:val="24"/>
              </w:rPr>
              <w:t>Resuscitation;</w:t>
            </w:r>
            <w:r>
              <w:rPr>
                <w:spacing w:val="-12"/>
                <w:sz w:val="24"/>
              </w:rPr>
              <w:t> </w:t>
            </w:r>
            <w:r>
              <w:rPr>
                <w:sz w:val="24"/>
              </w:rPr>
              <w:t>71:</w:t>
            </w:r>
            <w:r>
              <w:rPr>
                <w:spacing w:val="-13"/>
                <w:sz w:val="24"/>
              </w:rPr>
              <w:t> </w:t>
            </w:r>
            <w:r>
              <w:rPr>
                <w:sz w:val="24"/>
              </w:rPr>
              <w:t>1,</w:t>
            </w:r>
            <w:r>
              <w:rPr>
                <w:spacing w:val="-11"/>
                <w:sz w:val="24"/>
              </w:rPr>
              <w:t> </w:t>
            </w:r>
            <w:r>
              <w:rPr>
                <w:sz w:val="24"/>
              </w:rPr>
              <w:t>19-</w:t>
            </w:r>
            <w:r>
              <w:rPr>
                <w:spacing w:val="-5"/>
                <w:sz w:val="24"/>
              </w:rPr>
              <w:t>28.</w:t>
            </w:r>
          </w:p>
          <w:p>
            <w:pPr>
              <w:pStyle w:val="TableParagraph"/>
              <w:spacing w:before="2"/>
              <w:rPr>
                <w:sz w:val="24"/>
              </w:rPr>
            </w:pPr>
          </w:p>
          <w:p>
            <w:pPr>
              <w:pStyle w:val="TableParagraph"/>
              <w:ind w:left="206" w:right="149"/>
              <w:rPr>
                <w:sz w:val="24"/>
              </w:rPr>
            </w:pPr>
            <w:r>
              <w:rPr>
                <w:sz w:val="24"/>
              </w:rPr>
              <w:t>Smith,</w:t>
            </w:r>
            <w:r>
              <w:rPr>
                <w:spacing w:val="-5"/>
                <w:sz w:val="24"/>
              </w:rPr>
              <w:t> </w:t>
            </w:r>
            <w:r>
              <w:rPr>
                <w:sz w:val="24"/>
              </w:rPr>
              <w:t>G.</w:t>
            </w:r>
            <w:r>
              <w:rPr>
                <w:spacing w:val="-3"/>
                <w:sz w:val="24"/>
              </w:rPr>
              <w:t> </w:t>
            </w:r>
            <w:r>
              <w:rPr>
                <w:sz w:val="24"/>
              </w:rPr>
              <w:t>(2000)</w:t>
            </w:r>
            <w:r>
              <w:rPr>
                <w:spacing w:val="-5"/>
                <w:sz w:val="24"/>
              </w:rPr>
              <w:t> </w:t>
            </w:r>
            <w:r>
              <w:rPr>
                <w:sz w:val="24"/>
              </w:rPr>
              <w:t>Alert</w:t>
            </w:r>
            <w:r>
              <w:rPr>
                <w:spacing w:val="-7"/>
                <w:sz w:val="24"/>
              </w:rPr>
              <w:t> </w:t>
            </w:r>
            <w:r>
              <w:rPr>
                <w:sz w:val="24"/>
              </w:rPr>
              <w:t>Life-threatening</w:t>
            </w:r>
            <w:r>
              <w:rPr>
                <w:spacing w:val="-7"/>
                <w:sz w:val="24"/>
              </w:rPr>
              <w:t> </w:t>
            </w:r>
            <w:r>
              <w:rPr>
                <w:sz w:val="24"/>
              </w:rPr>
              <w:t>Events.</w:t>
            </w:r>
            <w:r>
              <w:rPr>
                <w:spacing w:val="-5"/>
                <w:sz w:val="24"/>
              </w:rPr>
              <w:t> </w:t>
            </w:r>
            <w:r>
              <w:rPr>
                <w:sz w:val="24"/>
              </w:rPr>
              <w:t>Recognition</w:t>
            </w:r>
            <w:r>
              <w:rPr>
                <w:spacing w:val="-6"/>
                <w:sz w:val="24"/>
              </w:rPr>
              <w:t> </w:t>
            </w:r>
            <w:r>
              <w:rPr>
                <w:sz w:val="24"/>
              </w:rPr>
              <w:t>and</w:t>
            </w:r>
            <w:r>
              <w:rPr>
                <w:spacing w:val="-7"/>
                <w:sz w:val="24"/>
              </w:rPr>
              <w:t> </w:t>
            </w:r>
            <w:r>
              <w:rPr>
                <w:sz w:val="24"/>
              </w:rPr>
              <w:t>Treatment: A Multi-professional Course in Care of the Acutely Ill Patient: Course Manual. Portsmouth: Portsmouth Institute of Medicine, Health and Social Care Faculty of Science.</w:t>
            </w:r>
          </w:p>
          <w:p>
            <w:pPr>
              <w:pStyle w:val="TableParagraph"/>
              <w:spacing w:before="5"/>
              <w:rPr>
                <w:sz w:val="24"/>
              </w:rPr>
            </w:pPr>
          </w:p>
          <w:p>
            <w:pPr>
              <w:pStyle w:val="TableParagraph"/>
              <w:ind w:left="206"/>
              <w:rPr>
                <w:sz w:val="24"/>
              </w:rPr>
            </w:pPr>
            <w:r>
              <w:rPr>
                <w:sz w:val="24"/>
              </w:rPr>
              <w:t>Tarassenko</w:t>
            </w:r>
            <w:r>
              <w:rPr>
                <w:spacing w:val="-5"/>
                <w:sz w:val="24"/>
              </w:rPr>
              <w:t> </w:t>
            </w:r>
            <w:r>
              <w:rPr>
                <w:sz w:val="24"/>
              </w:rPr>
              <w:t>L,</w:t>
            </w:r>
            <w:r>
              <w:rPr>
                <w:spacing w:val="-5"/>
                <w:sz w:val="24"/>
              </w:rPr>
              <w:t> </w:t>
            </w:r>
            <w:r>
              <w:rPr>
                <w:sz w:val="24"/>
              </w:rPr>
              <w:t>Hann</w:t>
            </w:r>
            <w:r>
              <w:rPr>
                <w:spacing w:val="-5"/>
                <w:sz w:val="24"/>
              </w:rPr>
              <w:t> </w:t>
            </w:r>
            <w:r>
              <w:rPr>
                <w:sz w:val="24"/>
              </w:rPr>
              <w:t>A,</w:t>
            </w:r>
            <w:r>
              <w:rPr>
                <w:spacing w:val="-5"/>
                <w:sz w:val="24"/>
              </w:rPr>
              <w:t> </w:t>
            </w:r>
            <w:r>
              <w:rPr>
                <w:sz w:val="24"/>
              </w:rPr>
              <w:t>Young</w:t>
            </w:r>
            <w:r>
              <w:rPr>
                <w:spacing w:val="-5"/>
                <w:sz w:val="24"/>
              </w:rPr>
              <w:t> </w:t>
            </w:r>
            <w:r>
              <w:rPr>
                <w:sz w:val="24"/>
              </w:rPr>
              <w:t>D.</w:t>
            </w:r>
            <w:r>
              <w:rPr>
                <w:spacing w:val="-3"/>
                <w:sz w:val="24"/>
              </w:rPr>
              <w:t> </w:t>
            </w:r>
            <w:r>
              <w:rPr>
                <w:sz w:val="24"/>
              </w:rPr>
              <w:t>(2006)</w:t>
            </w:r>
            <w:r>
              <w:rPr>
                <w:spacing w:val="-4"/>
                <w:sz w:val="24"/>
              </w:rPr>
              <w:t> </w:t>
            </w:r>
            <w:r>
              <w:rPr>
                <w:sz w:val="24"/>
              </w:rPr>
              <w:t>Integrated</w:t>
            </w:r>
            <w:r>
              <w:rPr>
                <w:spacing w:val="-5"/>
                <w:sz w:val="24"/>
              </w:rPr>
              <w:t> </w:t>
            </w:r>
            <w:r>
              <w:rPr>
                <w:sz w:val="24"/>
              </w:rPr>
              <w:t>monitoring and</w:t>
            </w:r>
            <w:r>
              <w:rPr>
                <w:spacing w:val="-3"/>
                <w:sz w:val="24"/>
              </w:rPr>
              <w:t> </w:t>
            </w:r>
            <w:r>
              <w:rPr>
                <w:sz w:val="24"/>
              </w:rPr>
              <w:t>analysis for early warning of patient deterioration. Br J Anaesth 97:64–8.</w:t>
            </w:r>
          </w:p>
        </w:tc>
      </w:tr>
      <w:tr>
        <w:trPr>
          <w:trHeight w:val="1717" w:hRule="atLeast"/>
        </w:trPr>
        <w:tc>
          <w:tcPr>
            <w:tcW w:w="727" w:type="dxa"/>
          </w:tcPr>
          <w:p>
            <w:pPr>
              <w:pStyle w:val="TableParagraph"/>
              <w:rPr>
                <w:rFonts w:ascii="Times New Roman"/>
                <w:sz w:val="22"/>
              </w:rPr>
            </w:pPr>
          </w:p>
        </w:tc>
        <w:tc>
          <w:tcPr>
            <w:tcW w:w="8401" w:type="dxa"/>
          </w:tcPr>
          <w:p>
            <w:pPr>
              <w:pStyle w:val="TableParagraph"/>
              <w:spacing w:before="56"/>
              <w:ind w:left="206" w:right="149"/>
              <w:rPr>
                <w:sz w:val="24"/>
              </w:rPr>
            </w:pPr>
            <w:r>
              <w:rPr>
                <w:sz w:val="24"/>
              </w:rPr>
              <w:t>National Confidential Enquiry in to Patient Outcome and Death (2012) Time to Intervene. NCEPOD. London</w:t>
            </w:r>
          </w:p>
          <w:p>
            <w:pPr>
              <w:pStyle w:val="TableParagraph"/>
              <w:spacing w:before="201"/>
              <w:ind w:left="206"/>
              <w:rPr>
                <w:sz w:val="22"/>
              </w:rPr>
            </w:pPr>
            <w:r>
              <w:rPr>
                <w:sz w:val="22"/>
              </w:rPr>
              <w:t>British Thoracic Society</w:t>
            </w:r>
            <w:r>
              <w:rPr>
                <w:spacing w:val="-1"/>
                <w:sz w:val="22"/>
              </w:rPr>
              <w:t> </w:t>
            </w:r>
            <w:r>
              <w:rPr>
                <w:sz w:val="22"/>
              </w:rPr>
              <w:t>(2008) Emergency</w:t>
            </w:r>
            <w:r>
              <w:rPr>
                <w:spacing w:val="-2"/>
                <w:sz w:val="22"/>
              </w:rPr>
              <w:t> </w:t>
            </w:r>
            <w:r>
              <w:rPr>
                <w:sz w:val="22"/>
              </w:rPr>
              <w:t>Oxygen use in Adult Patients. www.brit- </w:t>
            </w:r>
            <w:r>
              <w:rPr>
                <w:spacing w:val="-2"/>
                <w:sz w:val="22"/>
              </w:rPr>
              <w:t>thoracic.org.uk</w:t>
            </w:r>
          </w:p>
        </w:tc>
      </w:tr>
      <w:tr>
        <w:trPr>
          <w:trHeight w:val="829" w:hRule="atLeast"/>
        </w:trPr>
        <w:tc>
          <w:tcPr>
            <w:tcW w:w="727" w:type="dxa"/>
          </w:tcPr>
          <w:p>
            <w:pPr>
              <w:pStyle w:val="TableParagraph"/>
              <w:spacing w:before="117"/>
              <w:rPr>
                <w:sz w:val="24"/>
              </w:rPr>
            </w:pPr>
          </w:p>
          <w:p>
            <w:pPr>
              <w:pStyle w:val="TableParagraph"/>
              <w:ind w:right="289"/>
              <w:jc w:val="center"/>
              <w:rPr>
                <w:rFonts w:ascii="Arial"/>
                <w:b/>
                <w:sz w:val="24"/>
              </w:rPr>
            </w:pPr>
            <w:r>
              <w:rPr>
                <w:rFonts w:ascii="Arial"/>
                <w:b/>
                <w:spacing w:val="-5"/>
                <w:sz w:val="24"/>
              </w:rPr>
              <w:t>9.0</w:t>
            </w:r>
          </w:p>
        </w:tc>
        <w:tc>
          <w:tcPr>
            <w:tcW w:w="8401" w:type="dxa"/>
          </w:tcPr>
          <w:p>
            <w:pPr>
              <w:pStyle w:val="TableParagraph"/>
              <w:spacing w:before="117"/>
              <w:rPr>
                <w:sz w:val="24"/>
              </w:rPr>
            </w:pPr>
          </w:p>
          <w:p>
            <w:pPr>
              <w:pStyle w:val="TableParagraph"/>
              <w:ind w:left="206"/>
              <w:rPr>
                <w:rFonts w:ascii="Arial"/>
                <w:b/>
                <w:sz w:val="24"/>
              </w:rPr>
            </w:pPr>
            <w:r>
              <w:rPr>
                <w:rFonts w:ascii="Arial"/>
                <w:b/>
                <w:sz w:val="24"/>
              </w:rPr>
              <w:t>Associated</w:t>
            </w:r>
            <w:r>
              <w:rPr>
                <w:rFonts w:ascii="Arial"/>
                <w:b/>
                <w:spacing w:val="-3"/>
                <w:sz w:val="24"/>
              </w:rPr>
              <w:t> </w:t>
            </w:r>
            <w:r>
              <w:rPr>
                <w:rFonts w:ascii="Arial"/>
                <w:b/>
                <w:spacing w:val="-2"/>
                <w:sz w:val="24"/>
              </w:rPr>
              <w:t>Documentation</w:t>
            </w:r>
          </w:p>
        </w:tc>
      </w:tr>
      <w:tr>
        <w:trPr>
          <w:trHeight w:val="2071" w:hRule="atLeast"/>
        </w:trPr>
        <w:tc>
          <w:tcPr>
            <w:tcW w:w="727" w:type="dxa"/>
          </w:tcPr>
          <w:p>
            <w:pPr>
              <w:pStyle w:val="TableParagraph"/>
              <w:rPr>
                <w:rFonts w:ascii="Times New Roman"/>
                <w:sz w:val="22"/>
              </w:rPr>
            </w:pPr>
          </w:p>
        </w:tc>
        <w:tc>
          <w:tcPr>
            <w:tcW w:w="8401" w:type="dxa"/>
          </w:tcPr>
          <w:p>
            <w:pPr>
              <w:pStyle w:val="TableParagraph"/>
              <w:spacing w:before="160"/>
              <w:ind w:left="566"/>
              <w:rPr>
                <w:sz w:val="24"/>
              </w:rPr>
            </w:pPr>
            <w:r>
              <w:rPr>
                <w:position w:val="-5"/>
              </w:rPr>
              <w:drawing>
                <wp:inline distT="0" distB="0" distL="0" distR="0">
                  <wp:extent cx="140207" cy="187451"/>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pacing w:val="-2"/>
                <w:sz w:val="24"/>
              </w:rPr>
              <w:t>Resuscitation </w:t>
            </w:r>
            <w:r>
              <w:rPr>
                <w:sz w:val="24"/>
              </w:rPr>
              <w:t>Policy</w:t>
            </w:r>
          </w:p>
          <w:p>
            <w:pPr>
              <w:pStyle w:val="TableParagraph"/>
              <w:spacing w:line="333" w:lineRule="auto" w:before="118"/>
              <w:ind w:left="566" w:right="3460"/>
              <w:rPr>
                <w:sz w:val="24"/>
              </w:rPr>
            </w:pPr>
            <w:r>
              <w:rPr>
                <w:position w:val="-5"/>
              </w:rPr>
              <w:drawing>
                <wp:inline distT="0" distB="0" distL="0" distR="0">
                  <wp:extent cx="140207" cy="187452"/>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9" cstate="print"/>
                          <a:stretch>
                            <a:fillRect/>
                          </a:stretch>
                        </pic:blipFill>
                        <pic:spPr>
                          <a:xfrm>
                            <a:off x="0" y="0"/>
                            <a:ext cx="140207" cy="187452"/>
                          </a:xfrm>
                          <a:prstGeom prst="rect">
                            <a:avLst/>
                          </a:prstGeom>
                        </pic:spPr>
                      </pic:pic>
                    </a:graphicData>
                  </a:graphic>
                </wp:inline>
              </w:drawing>
            </w:r>
            <w:r>
              <w:rPr>
                <w:position w:val="-5"/>
              </w:rPr>
            </w:r>
            <w:r>
              <w:rPr>
                <w:rFonts w:ascii="Times New Roman"/>
                <w:spacing w:val="76"/>
                <w:sz w:val="20"/>
              </w:rPr>
              <w:t> </w:t>
            </w:r>
            <w:r>
              <w:rPr>
                <w:sz w:val="24"/>
              </w:rPr>
              <w:t>Do</w:t>
            </w:r>
            <w:r>
              <w:rPr>
                <w:spacing w:val="-6"/>
                <w:sz w:val="24"/>
              </w:rPr>
              <w:t> </w:t>
            </w:r>
            <w:r>
              <w:rPr>
                <w:sz w:val="24"/>
              </w:rPr>
              <w:t>Not</w:t>
            </w:r>
            <w:r>
              <w:rPr>
                <w:spacing w:val="-6"/>
                <w:sz w:val="24"/>
              </w:rPr>
              <w:t> </w:t>
            </w:r>
            <w:r>
              <w:rPr>
                <w:sz w:val="24"/>
              </w:rPr>
              <w:t>Attempt</w:t>
            </w:r>
            <w:r>
              <w:rPr>
                <w:spacing w:val="-8"/>
                <w:sz w:val="24"/>
              </w:rPr>
              <w:t> </w:t>
            </w:r>
            <w:r>
              <w:rPr>
                <w:sz w:val="24"/>
              </w:rPr>
              <w:t>Resuscitation</w:t>
            </w:r>
            <w:r>
              <w:rPr>
                <w:spacing w:val="-8"/>
                <w:sz w:val="24"/>
              </w:rPr>
              <w:t> </w:t>
            </w:r>
            <w:r>
              <w:rPr>
                <w:sz w:val="24"/>
              </w:rPr>
              <w:t>Policy </w:t>
            </w:r>
            <w:r>
              <w:rPr>
                <w:position w:val="-5"/>
                <w:sz w:val="24"/>
              </w:rPr>
              <w:drawing>
                <wp:inline distT="0" distB="0" distL="0" distR="0">
                  <wp:extent cx="140207" cy="187451"/>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9" cstate="print"/>
                          <a:stretch>
                            <a:fillRect/>
                          </a:stretch>
                        </pic:blipFill>
                        <pic:spPr>
                          <a:xfrm>
                            <a:off x="0" y="0"/>
                            <a:ext cx="140207" cy="187451"/>
                          </a:xfrm>
                          <a:prstGeom prst="rect">
                            <a:avLst/>
                          </a:prstGeom>
                        </pic:spPr>
                      </pic:pic>
                    </a:graphicData>
                  </a:graphic>
                </wp:inline>
              </w:drawing>
            </w:r>
            <w:r>
              <w:rPr>
                <w:position w:val="-5"/>
                <w:sz w:val="24"/>
              </w:rPr>
            </w:r>
            <w:r>
              <w:rPr>
                <w:rFonts w:ascii="Times New Roman"/>
                <w:spacing w:val="40"/>
                <w:sz w:val="24"/>
              </w:rPr>
              <w:t> </w:t>
            </w:r>
            <w:r>
              <w:rPr>
                <w:sz w:val="24"/>
              </w:rPr>
              <w:t>MEWS Escalation Policy</w:t>
            </w:r>
          </w:p>
          <w:p>
            <w:pPr>
              <w:pStyle w:val="TableParagraph"/>
              <w:spacing w:before="2"/>
              <w:ind w:left="566"/>
              <w:rPr>
                <w:sz w:val="24"/>
              </w:rPr>
            </w:pPr>
            <w:r>
              <w:rPr>
                <w:position w:val="-5"/>
              </w:rPr>
              <w:drawing>
                <wp:inline distT="0" distB="0" distL="0" distR="0">
                  <wp:extent cx="140207" cy="187451"/>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9" cstate="print"/>
                          <a:stretch>
                            <a:fillRect/>
                          </a:stretch>
                        </pic:blipFill>
                        <pic:spPr>
                          <a:xfrm>
                            <a:off x="0" y="0"/>
                            <a:ext cx="140207" cy="187451"/>
                          </a:xfrm>
                          <a:prstGeom prst="rect">
                            <a:avLst/>
                          </a:prstGeom>
                        </pic:spPr>
                      </pic:pic>
                    </a:graphicData>
                  </a:graphic>
                </wp:inline>
              </w:drawing>
            </w:r>
            <w:r>
              <w:rPr>
                <w:position w:val="-5"/>
              </w:rPr>
            </w:r>
            <w:r>
              <w:rPr>
                <w:rFonts w:ascii="Times New Roman"/>
                <w:spacing w:val="80"/>
                <w:sz w:val="20"/>
              </w:rPr>
              <w:t> </w:t>
            </w:r>
            <w:r>
              <w:rPr>
                <w:sz w:val="24"/>
              </w:rPr>
              <w:t>Clinical Audit Policy</w:t>
            </w:r>
          </w:p>
        </w:tc>
      </w:tr>
      <w:tr>
        <w:trPr>
          <w:trHeight w:val="648" w:hRule="atLeast"/>
        </w:trPr>
        <w:tc>
          <w:tcPr>
            <w:tcW w:w="727" w:type="dxa"/>
          </w:tcPr>
          <w:p>
            <w:pPr>
              <w:pStyle w:val="TableParagraph"/>
              <w:spacing w:before="96"/>
              <w:rPr>
                <w:sz w:val="24"/>
              </w:rPr>
            </w:pPr>
          </w:p>
          <w:p>
            <w:pPr>
              <w:pStyle w:val="TableParagraph"/>
              <w:spacing w:line="256" w:lineRule="exact"/>
              <w:ind w:right="155"/>
              <w:jc w:val="center"/>
              <w:rPr>
                <w:rFonts w:ascii="Arial"/>
                <w:b/>
                <w:sz w:val="24"/>
              </w:rPr>
            </w:pPr>
            <w:r>
              <w:rPr>
                <w:rFonts w:ascii="Arial"/>
                <w:b/>
                <w:spacing w:val="-4"/>
                <w:sz w:val="24"/>
              </w:rPr>
              <w:t>10.0</w:t>
            </w:r>
          </w:p>
        </w:tc>
        <w:tc>
          <w:tcPr>
            <w:tcW w:w="8401" w:type="dxa"/>
          </w:tcPr>
          <w:p>
            <w:pPr>
              <w:pStyle w:val="TableParagraph"/>
              <w:spacing w:before="96"/>
              <w:rPr>
                <w:sz w:val="24"/>
              </w:rPr>
            </w:pPr>
          </w:p>
          <w:p>
            <w:pPr>
              <w:pStyle w:val="TableParagraph"/>
              <w:spacing w:line="256" w:lineRule="exact"/>
              <w:ind w:left="206"/>
              <w:rPr>
                <w:rFonts w:ascii="Arial"/>
                <w:b/>
                <w:sz w:val="24"/>
              </w:rPr>
            </w:pPr>
            <w:r>
              <w:rPr>
                <w:rFonts w:ascii="Arial"/>
                <w:b/>
                <w:spacing w:val="-2"/>
                <w:sz w:val="24"/>
              </w:rPr>
              <w:t>Appendices</w:t>
            </w:r>
          </w:p>
        </w:tc>
      </w:tr>
    </w:tbl>
    <w:p>
      <w:pPr>
        <w:pStyle w:val="TableParagraph"/>
        <w:spacing w:after="0" w:line="256" w:lineRule="exact"/>
        <w:rPr>
          <w:rFonts w:ascii="Arial"/>
          <w:b/>
          <w:sz w:val="24"/>
        </w:rPr>
        <w:sectPr>
          <w:pgSz w:w="11910" w:h="16840"/>
          <w:pgMar w:header="0" w:footer="955" w:top="680" w:bottom="1140" w:left="425" w:right="566"/>
        </w:sectPr>
      </w:pPr>
    </w:p>
    <w:p>
      <w:pPr>
        <w:pStyle w:val="BodyText"/>
        <w:spacing w:before="75"/>
        <w:ind w:left="1015"/>
      </w:pPr>
      <w:r>
        <w:rPr/>
        <w:t>Appendix</w:t>
      </w:r>
      <w:r>
        <w:rPr>
          <w:spacing w:val="-7"/>
        </w:rPr>
        <w:t> </w:t>
      </w:r>
      <w:r>
        <w:rPr/>
        <w:t>A</w:t>
      </w:r>
      <w:r>
        <w:rPr>
          <w:spacing w:val="-1"/>
        </w:rPr>
        <w:t> </w:t>
      </w:r>
      <w:r>
        <w:rPr/>
        <w:t>-</w:t>
      </w:r>
      <w:r>
        <w:rPr>
          <w:spacing w:val="-2"/>
        </w:rPr>
        <w:t> </w:t>
      </w:r>
      <w:r>
        <w:rPr/>
        <w:t>Modified</w:t>
      </w:r>
      <w:r>
        <w:rPr>
          <w:spacing w:val="-4"/>
        </w:rPr>
        <w:t> </w:t>
      </w:r>
      <w:r>
        <w:rPr/>
        <w:t>Early</w:t>
      </w:r>
      <w:r>
        <w:rPr>
          <w:spacing w:val="-9"/>
        </w:rPr>
        <w:t> </w:t>
      </w:r>
      <w:r>
        <w:rPr/>
        <w:t>Warning</w:t>
      </w:r>
      <w:r>
        <w:rPr>
          <w:spacing w:val="-4"/>
        </w:rPr>
        <w:t> </w:t>
      </w:r>
      <w:r>
        <w:rPr/>
        <w:t>Score</w:t>
      </w:r>
      <w:r>
        <w:rPr>
          <w:spacing w:val="-4"/>
        </w:rPr>
        <w:t> </w:t>
      </w:r>
      <w:r>
        <w:rPr/>
        <w:t>Tool</w:t>
      </w:r>
      <w:r>
        <w:rPr>
          <w:spacing w:val="-2"/>
        </w:rPr>
        <w:t> </w:t>
      </w:r>
      <w:r>
        <w:rPr/>
        <w:t>and</w:t>
      </w:r>
      <w:r>
        <w:rPr>
          <w:spacing w:val="-2"/>
        </w:rPr>
        <w:t> </w:t>
      </w:r>
      <w:r>
        <w:rPr/>
        <w:t>Mews</w:t>
      </w:r>
      <w:r>
        <w:rPr>
          <w:spacing w:val="-2"/>
        </w:rPr>
        <w:t> </w:t>
      </w:r>
      <w:r>
        <w:rPr/>
        <w:t>Escalation</w:t>
      </w:r>
      <w:r>
        <w:rPr>
          <w:spacing w:val="5"/>
        </w:rPr>
        <w:t> </w:t>
      </w:r>
      <w:r>
        <w:rPr>
          <w:spacing w:val="-2"/>
        </w:rPr>
        <w:t>Strategy</w:t>
      </w:r>
    </w:p>
    <w:p>
      <w:pPr>
        <w:pStyle w:val="BodyText"/>
        <w:spacing w:before="4"/>
        <w:rPr>
          <w:sz w:val="18"/>
        </w:rPr>
      </w:pPr>
      <w:r>
        <w:rPr>
          <w:sz w:val="18"/>
        </w:rPr>
        <w:drawing>
          <wp:anchor distT="0" distB="0" distL="0" distR="0" allowOverlap="1" layoutInCell="1" locked="0" behindDoc="1" simplePos="0" relativeHeight="487590400">
            <wp:simplePos x="0" y="0"/>
            <wp:positionH relativeFrom="page">
              <wp:posOffset>950449</wp:posOffset>
            </wp:positionH>
            <wp:positionV relativeFrom="paragraph">
              <wp:posOffset>149419</wp:posOffset>
            </wp:positionV>
            <wp:extent cx="5666824" cy="7943659"/>
            <wp:effectExtent l="0" t="0" r="0" b="0"/>
            <wp:wrapTopAndBottom/>
            <wp:docPr id="95" name="Image 95"/>
            <wp:cNvGraphicFramePr>
              <a:graphicFrameLocks/>
            </wp:cNvGraphicFramePr>
            <a:graphic>
              <a:graphicData uri="http://schemas.openxmlformats.org/drawingml/2006/picture">
                <pic:pic>
                  <pic:nvPicPr>
                    <pic:cNvPr id="95" name="Image 95"/>
                    <pic:cNvPicPr/>
                  </pic:nvPicPr>
                  <pic:blipFill>
                    <a:blip r:embed="rId33" cstate="print"/>
                    <a:stretch>
                      <a:fillRect/>
                    </a:stretch>
                  </pic:blipFill>
                  <pic:spPr>
                    <a:xfrm>
                      <a:off x="0" y="0"/>
                      <a:ext cx="5666824" cy="7943659"/>
                    </a:xfrm>
                    <a:prstGeom prst="rect">
                      <a:avLst/>
                    </a:prstGeom>
                  </pic:spPr>
                </pic:pic>
              </a:graphicData>
            </a:graphic>
          </wp:anchor>
        </w:drawing>
      </w:r>
    </w:p>
    <w:p>
      <w:pPr>
        <w:pStyle w:val="BodyText"/>
        <w:spacing w:after="0"/>
        <w:rPr>
          <w:sz w:val="18"/>
        </w:rPr>
        <w:sectPr>
          <w:pgSz w:w="11910" w:h="16840"/>
          <w:pgMar w:header="0" w:footer="955" w:top="1100" w:bottom="1140" w:left="425" w:right="566"/>
        </w:sectPr>
      </w:pPr>
    </w:p>
    <w:p>
      <w:pPr>
        <w:spacing w:before="75"/>
        <w:ind w:left="1015" w:right="0" w:firstLine="0"/>
        <w:jc w:val="left"/>
        <w:rPr>
          <w:rFonts w:ascii="Arial" w:hAnsi="Arial"/>
          <w:b/>
          <w:sz w:val="22"/>
        </w:rPr>
      </w:pPr>
      <w:r>
        <w:rPr>
          <w:rFonts w:ascii="Arial" w:hAnsi="Arial"/>
          <w:b/>
          <w:sz w:val="24"/>
        </w:rPr>
        <w:t>Appendix</w:t>
      </w:r>
      <w:r>
        <w:rPr>
          <w:rFonts w:ascii="Arial" w:hAnsi="Arial"/>
          <w:b/>
          <w:spacing w:val="-4"/>
          <w:sz w:val="24"/>
        </w:rPr>
        <w:t> </w:t>
      </w:r>
      <w:r>
        <w:rPr>
          <w:rFonts w:ascii="Arial" w:hAnsi="Arial"/>
          <w:b/>
          <w:sz w:val="24"/>
        </w:rPr>
        <w:t>–</w:t>
      </w:r>
      <w:r>
        <w:rPr>
          <w:rFonts w:ascii="Arial" w:hAnsi="Arial"/>
          <w:b/>
          <w:spacing w:val="-1"/>
          <w:sz w:val="24"/>
        </w:rPr>
        <w:t> </w:t>
      </w:r>
      <w:r>
        <w:rPr>
          <w:rFonts w:ascii="Arial" w:hAnsi="Arial"/>
          <w:b/>
          <w:sz w:val="24"/>
        </w:rPr>
        <w:t>B</w:t>
      </w:r>
      <w:r>
        <w:rPr>
          <w:rFonts w:ascii="Arial" w:hAnsi="Arial"/>
          <w:b/>
          <w:spacing w:val="-2"/>
          <w:sz w:val="24"/>
        </w:rPr>
        <w:t> </w:t>
      </w:r>
      <w:r>
        <w:rPr>
          <w:rFonts w:ascii="Arial" w:hAnsi="Arial"/>
          <w:b/>
          <w:sz w:val="22"/>
        </w:rPr>
        <w:t>Variance</w:t>
      </w:r>
      <w:r>
        <w:rPr>
          <w:rFonts w:ascii="Arial" w:hAnsi="Arial"/>
          <w:b/>
          <w:spacing w:val="-1"/>
          <w:sz w:val="22"/>
        </w:rPr>
        <w:t> </w:t>
      </w:r>
      <w:r>
        <w:rPr>
          <w:rFonts w:ascii="Arial" w:hAnsi="Arial"/>
          <w:b/>
          <w:spacing w:val="-4"/>
          <w:sz w:val="22"/>
        </w:rPr>
        <w:t>Form</w:t>
      </w:r>
    </w:p>
    <w:p>
      <w:pPr>
        <w:pStyle w:val="BodyText"/>
        <w:spacing w:before="4"/>
        <w:rPr>
          <w:rFonts w:ascii="Arial"/>
          <w:b/>
          <w:sz w:val="19"/>
        </w:rPr>
      </w:pPr>
      <w:r>
        <w:rPr>
          <w:rFonts w:ascii="Arial"/>
          <w:b/>
          <w:sz w:val="19"/>
        </w:rPr>
        <w:drawing>
          <wp:anchor distT="0" distB="0" distL="0" distR="0" allowOverlap="1" layoutInCell="1" locked="0" behindDoc="1" simplePos="0" relativeHeight="487590912">
            <wp:simplePos x="0" y="0"/>
            <wp:positionH relativeFrom="page">
              <wp:posOffset>962793</wp:posOffset>
            </wp:positionH>
            <wp:positionV relativeFrom="paragraph">
              <wp:posOffset>156897</wp:posOffset>
            </wp:positionV>
            <wp:extent cx="4772227" cy="7110031"/>
            <wp:effectExtent l="0" t="0" r="0" b="0"/>
            <wp:wrapTopAndBottom/>
            <wp:docPr id="96" name="Image 96"/>
            <wp:cNvGraphicFramePr>
              <a:graphicFrameLocks/>
            </wp:cNvGraphicFramePr>
            <a:graphic>
              <a:graphicData uri="http://schemas.openxmlformats.org/drawingml/2006/picture">
                <pic:pic>
                  <pic:nvPicPr>
                    <pic:cNvPr id="96" name="Image 96"/>
                    <pic:cNvPicPr/>
                  </pic:nvPicPr>
                  <pic:blipFill>
                    <a:blip r:embed="rId34" cstate="print"/>
                    <a:stretch>
                      <a:fillRect/>
                    </a:stretch>
                  </pic:blipFill>
                  <pic:spPr>
                    <a:xfrm>
                      <a:off x="0" y="0"/>
                      <a:ext cx="4772227" cy="7110031"/>
                    </a:xfrm>
                    <a:prstGeom prst="rect">
                      <a:avLst/>
                    </a:prstGeom>
                  </pic:spPr>
                </pic:pic>
              </a:graphicData>
            </a:graphic>
          </wp:anchor>
        </w:drawing>
      </w:r>
    </w:p>
    <w:p>
      <w:pPr>
        <w:pStyle w:val="BodyText"/>
        <w:spacing w:after="0"/>
        <w:rPr>
          <w:rFonts w:ascii="Arial"/>
          <w:b/>
          <w:sz w:val="19"/>
        </w:rPr>
        <w:sectPr>
          <w:pgSz w:w="11910" w:h="16840"/>
          <w:pgMar w:header="0" w:footer="955" w:top="1100" w:bottom="1140" w:left="425" w:right="566"/>
        </w:sectPr>
      </w:pPr>
    </w:p>
    <w:p>
      <w:pPr>
        <w:pStyle w:val="Heading2"/>
      </w:pPr>
      <w:r>
        <w:rPr/>
        <w:t>Appendix</w:t>
      </w:r>
      <w:r>
        <w:rPr>
          <w:spacing w:val="1"/>
        </w:rPr>
        <w:t> </w:t>
      </w:r>
      <w:r>
        <w:rPr/>
        <w:t>C -</w:t>
      </w:r>
      <w:r>
        <w:rPr>
          <w:spacing w:val="-1"/>
        </w:rPr>
        <w:t> </w:t>
      </w:r>
      <w:r>
        <w:rPr/>
        <w:t>Summary</w:t>
      </w:r>
      <w:r>
        <w:rPr>
          <w:spacing w:val="-5"/>
        </w:rPr>
        <w:t> </w:t>
      </w:r>
      <w:r>
        <w:rPr/>
        <w:t>of</w:t>
      </w:r>
      <w:r>
        <w:rPr>
          <w:spacing w:val="-1"/>
        </w:rPr>
        <w:t> </w:t>
      </w:r>
      <w:r>
        <w:rPr/>
        <w:t>Standards/Key</w:t>
      </w:r>
      <w:r>
        <w:rPr>
          <w:spacing w:val="-4"/>
        </w:rPr>
        <w:t> </w:t>
      </w:r>
      <w:r>
        <w:rPr/>
        <w:t>Performance </w:t>
      </w:r>
      <w:r>
        <w:rPr>
          <w:spacing w:val="-2"/>
        </w:rPr>
        <w:t>Indicators</w:t>
      </w:r>
    </w:p>
    <w:p>
      <w:pPr>
        <w:spacing w:before="197"/>
        <w:ind w:left="1015" w:right="956" w:firstLine="0"/>
        <w:jc w:val="left"/>
        <w:rPr>
          <w:rFonts w:ascii="Arial"/>
          <w:b/>
          <w:sz w:val="24"/>
        </w:rPr>
      </w:pPr>
      <w:r>
        <w:rPr>
          <w:rFonts w:ascii="Arial"/>
          <w:b/>
          <w:sz w:val="22"/>
          <w:u w:val="single"/>
        </w:rPr>
        <w:t>Audit</w:t>
      </w:r>
      <w:r>
        <w:rPr>
          <w:rFonts w:ascii="Arial"/>
          <w:b/>
          <w:spacing w:val="-1"/>
          <w:sz w:val="22"/>
          <w:u w:val="single"/>
        </w:rPr>
        <w:t> </w:t>
      </w:r>
      <w:r>
        <w:rPr>
          <w:rFonts w:ascii="Arial"/>
          <w:b/>
          <w:sz w:val="22"/>
          <w:u w:val="single"/>
        </w:rPr>
        <w:t>Tool</w:t>
      </w:r>
      <w:r>
        <w:rPr>
          <w:rFonts w:ascii="Arial"/>
          <w:b/>
          <w:spacing w:val="-1"/>
          <w:sz w:val="22"/>
          <w:u w:val="single"/>
        </w:rPr>
        <w:t> </w:t>
      </w:r>
      <w:r>
        <w:rPr>
          <w:rFonts w:ascii="Arial"/>
          <w:b/>
          <w:sz w:val="22"/>
          <w:u w:val="single"/>
        </w:rPr>
        <w:t>-</w:t>
      </w:r>
      <w:r>
        <w:rPr>
          <w:rFonts w:ascii="Arial"/>
          <w:b/>
          <w:spacing w:val="-4"/>
          <w:sz w:val="22"/>
          <w:u w:val="single"/>
        </w:rPr>
        <w:t> </w:t>
      </w:r>
      <w:r>
        <w:rPr>
          <w:rFonts w:ascii="Arial"/>
          <w:b/>
          <w:sz w:val="24"/>
        </w:rPr>
        <w:t>Observation</w:t>
      </w:r>
      <w:r>
        <w:rPr>
          <w:rFonts w:ascii="Arial"/>
          <w:b/>
          <w:spacing w:val="-4"/>
          <w:sz w:val="24"/>
        </w:rPr>
        <w:t> </w:t>
      </w:r>
      <w:r>
        <w:rPr>
          <w:rFonts w:ascii="Arial"/>
          <w:b/>
          <w:sz w:val="24"/>
        </w:rPr>
        <w:t>Policy</w:t>
      </w:r>
      <w:r>
        <w:rPr>
          <w:rFonts w:ascii="Arial"/>
          <w:b/>
          <w:spacing w:val="-7"/>
          <w:sz w:val="24"/>
        </w:rPr>
        <w:t> </w:t>
      </w:r>
      <w:r>
        <w:rPr>
          <w:rFonts w:ascii="Arial"/>
          <w:b/>
          <w:sz w:val="24"/>
        </w:rPr>
        <w:t>-</w:t>
      </w:r>
      <w:r>
        <w:rPr>
          <w:rFonts w:ascii="Arial"/>
          <w:b/>
          <w:spacing w:val="-4"/>
          <w:sz w:val="24"/>
        </w:rPr>
        <w:t> </w:t>
      </w:r>
      <w:r>
        <w:rPr>
          <w:rFonts w:ascii="Arial"/>
          <w:b/>
          <w:sz w:val="24"/>
        </w:rPr>
        <w:t>Minimum</w:t>
      </w:r>
      <w:r>
        <w:rPr>
          <w:rFonts w:ascii="Arial"/>
          <w:b/>
          <w:spacing w:val="-4"/>
          <w:sz w:val="24"/>
        </w:rPr>
        <w:t> </w:t>
      </w:r>
      <w:r>
        <w:rPr>
          <w:rFonts w:ascii="Arial"/>
          <w:b/>
          <w:sz w:val="24"/>
        </w:rPr>
        <w:t>Standards</w:t>
      </w:r>
      <w:r>
        <w:rPr>
          <w:rFonts w:ascii="Arial"/>
          <w:b/>
          <w:spacing w:val="-4"/>
          <w:sz w:val="24"/>
        </w:rPr>
        <w:t> </w:t>
      </w:r>
      <w:r>
        <w:rPr>
          <w:rFonts w:ascii="Arial"/>
          <w:b/>
          <w:sz w:val="24"/>
        </w:rPr>
        <w:t>for</w:t>
      </w:r>
      <w:r>
        <w:rPr>
          <w:rFonts w:ascii="Arial"/>
          <w:b/>
          <w:spacing w:val="-4"/>
          <w:sz w:val="24"/>
        </w:rPr>
        <w:t> </w:t>
      </w:r>
      <w:r>
        <w:rPr>
          <w:rFonts w:ascii="Arial"/>
          <w:b/>
          <w:sz w:val="24"/>
        </w:rPr>
        <w:t>Monitoring</w:t>
      </w:r>
      <w:r>
        <w:rPr>
          <w:rFonts w:ascii="Arial"/>
          <w:b/>
          <w:spacing w:val="-4"/>
          <w:sz w:val="24"/>
        </w:rPr>
        <w:t> </w:t>
      </w:r>
      <w:r>
        <w:rPr>
          <w:rFonts w:ascii="Arial"/>
          <w:b/>
          <w:sz w:val="24"/>
        </w:rPr>
        <w:t>and Recording Adult Physiological Vital Signs.</w:t>
      </w:r>
    </w:p>
    <w:p>
      <w:pPr>
        <w:pStyle w:val="BodyText"/>
        <w:spacing w:before="50"/>
        <w:rPr>
          <w:rFonts w:ascii="Arial"/>
          <w:b/>
          <w:sz w:val="20"/>
        </w:rPr>
      </w:pPr>
    </w:p>
    <w:tbl>
      <w:tblPr>
        <w:tblW w:w="0" w:type="auto"/>
        <w:jc w:val="left"/>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8"/>
        <w:gridCol w:w="2607"/>
        <w:gridCol w:w="1587"/>
        <w:gridCol w:w="1764"/>
        <w:gridCol w:w="2995"/>
        <w:gridCol w:w="1067"/>
      </w:tblGrid>
      <w:tr>
        <w:trPr>
          <w:trHeight w:val="587" w:hRule="atLeast"/>
        </w:trPr>
        <w:tc>
          <w:tcPr>
            <w:tcW w:w="528" w:type="dxa"/>
            <w:shd w:val="clear" w:color="auto" w:fill="C0C0C0"/>
          </w:tcPr>
          <w:p>
            <w:pPr>
              <w:pStyle w:val="TableParagraph"/>
              <w:spacing w:line="225" w:lineRule="exact"/>
              <w:ind w:left="107"/>
              <w:rPr>
                <w:rFonts w:ascii="Arial"/>
                <w:b/>
                <w:sz w:val="20"/>
              </w:rPr>
            </w:pPr>
            <w:r>
              <w:rPr>
                <w:rFonts w:ascii="Arial"/>
                <w:b/>
                <w:spacing w:val="-5"/>
                <w:sz w:val="20"/>
              </w:rPr>
              <w:t>No</w:t>
            </w:r>
          </w:p>
        </w:tc>
        <w:tc>
          <w:tcPr>
            <w:tcW w:w="2607" w:type="dxa"/>
            <w:shd w:val="clear" w:color="auto" w:fill="C0C0C0"/>
          </w:tcPr>
          <w:p>
            <w:pPr>
              <w:pStyle w:val="TableParagraph"/>
              <w:spacing w:line="225" w:lineRule="exact"/>
              <w:ind w:left="552"/>
              <w:rPr>
                <w:rFonts w:ascii="Arial"/>
                <w:b/>
                <w:sz w:val="20"/>
              </w:rPr>
            </w:pPr>
            <w:r>
              <w:rPr>
                <w:rFonts w:ascii="Arial"/>
                <w:b/>
                <w:sz w:val="20"/>
              </w:rPr>
              <w:t>Care</w:t>
            </w:r>
            <w:r>
              <w:rPr>
                <w:rFonts w:ascii="Arial"/>
                <w:b/>
                <w:spacing w:val="-7"/>
                <w:sz w:val="20"/>
              </w:rPr>
              <w:t> </w:t>
            </w:r>
            <w:r>
              <w:rPr>
                <w:rFonts w:ascii="Arial"/>
                <w:b/>
                <w:spacing w:val="-2"/>
                <w:sz w:val="20"/>
              </w:rPr>
              <w:t>(Standard)</w:t>
            </w:r>
          </w:p>
        </w:tc>
        <w:tc>
          <w:tcPr>
            <w:tcW w:w="1587" w:type="dxa"/>
            <w:shd w:val="clear" w:color="auto" w:fill="C0C0C0"/>
          </w:tcPr>
          <w:p>
            <w:pPr>
              <w:pStyle w:val="TableParagraph"/>
              <w:spacing w:line="225" w:lineRule="exact"/>
              <w:ind w:left="107"/>
              <w:rPr>
                <w:rFonts w:ascii="Arial"/>
                <w:b/>
                <w:sz w:val="20"/>
              </w:rPr>
            </w:pPr>
            <w:r>
              <w:rPr>
                <w:rFonts w:ascii="Arial"/>
                <w:b/>
                <w:spacing w:val="-2"/>
                <w:sz w:val="20"/>
              </w:rPr>
              <w:t>Responsibility</w:t>
            </w:r>
          </w:p>
        </w:tc>
        <w:tc>
          <w:tcPr>
            <w:tcW w:w="1764" w:type="dxa"/>
            <w:shd w:val="clear" w:color="auto" w:fill="C0C0C0"/>
          </w:tcPr>
          <w:p>
            <w:pPr>
              <w:pStyle w:val="TableParagraph"/>
              <w:spacing w:line="225" w:lineRule="exact"/>
              <w:ind w:left="448"/>
              <w:rPr>
                <w:rFonts w:ascii="Arial"/>
                <w:b/>
                <w:sz w:val="20"/>
              </w:rPr>
            </w:pPr>
            <w:r>
              <w:rPr>
                <w:rFonts w:ascii="Arial"/>
                <w:b/>
                <w:spacing w:val="-2"/>
                <w:sz w:val="20"/>
              </w:rPr>
              <w:t>Standard</w:t>
            </w:r>
          </w:p>
        </w:tc>
        <w:tc>
          <w:tcPr>
            <w:tcW w:w="2995" w:type="dxa"/>
            <w:shd w:val="clear" w:color="auto" w:fill="C0C0C0"/>
          </w:tcPr>
          <w:p>
            <w:pPr>
              <w:pStyle w:val="TableParagraph"/>
              <w:spacing w:line="225" w:lineRule="exact"/>
              <w:ind w:left="6"/>
              <w:jc w:val="center"/>
              <w:rPr>
                <w:rFonts w:ascii="Arial"/>
                <w:b/>
                <w:sz w:val="20"/>
              </w:rPr>
            </w:pPr>
            <w:r>
              <w:rPr>
                <w:rFonts w:ascii="Arial"/>
                <w:b/>
                <w:spacing w:val="-2"/>
                <w:sz w:val="20"/>
              </w:rPr>
              <w:t>Exceptions</w:t>
            </w:r>
          </w:p>
        </w:tc>
        <w:tc>
          <w:tcPr>
            <w:tcW w:w="1067" w:type="dxa"/>
            <w:shd w:val="clear" w:color="auto" w:fill="C0C0C0"/>
          </w:tcPr>
          <w:p>
            <w:pPr>
              <w:pStyle w:val="TableParagraph"/>
              <w:spacing w:line="225" w:lineRule="exact"/>
              <w:ind w:left="11"/>
              <w:jc w:val="center"/>
              <w:rPr>
                <w:rFonts w:ascii="Arial"/>
                <w:b/>
                <w:sz w:val="20"/>
              </w:rPr>
            </w:pPr>
            <w:r>
              <w:rPr>
                <w:rFonts w:ascii="Arial"/>
                <w:b/>
                <w:spacing w:val="-2"/>
                <w:sz w:val="20"/>
              </w:rPr>
              <w:t>Target</w:t>
            </w:r>
          </w:p>
        </w:tc>
      </w:tr>
      <w:tr>
        <w:trPr>
          <w:trHeight w:val="1266" w:hRule="atLeast"/>
        </w:trPr>
        <w:tc>
          <w:tcPr>
            <w:tcW w:w="528" w:type="dxa"/>
          </w:tcPr>
          <w:p>
            <w:pPr>
              <w:pStyle w:val="TableParagraph"/>
              <w:spacing w:before="199"/>
              <w:ind w:left="107"/>
              <w:rPr>
                <w:rFonts w:ascii="Arial"/>
                <w:b/>
                <w:sz w:val="22"/>
              </w:rPr>
            </w:pPr>
            <w:r>
              <w:rPr>
                <w:rFonts w:ascii="Arial"/>
                <w:b/>
                <w:spacing w:val="-10"/>
                <w:sz w:val="22"/>
              </w:rPr>
              <w:t>1</w:t>
            </w:r>
          </w:p>
        </w:tc>
        <w:tc>
          <w:tcPr>
            <w:tcW w:w="2607" w:type="dxa"/>
          </w:tcPr>
          <w:p>
            <w:pPr>
              <w:pStyle w:val="TableParagraph"/>
              <w:ind w:left="107" w:right="175"/>
              <w:rPr>
                <w:sz w:val="20"/>
              </w:rPr>
            </w:pPr>
            <w:r>
              <w:rPr>
                <w:sz w:val="20"/>
              </w:rPr>
              <w:t>All</w:t>
            </w:r>
            <w:r>
              <w:rPr>
                <w:spacing w:val="-14"/>
                <w:sz w:val="20"/>
              </w:rPr>
              <w:t> </w:t>
            </w:r>
            <w:r>
              <w:rPr>
                <w:sz w:val="20"/>
              </w:rPr>
              <w:t>patients</w:t>
            </w:r>
            <w:r>
              <w:rPr>
                <w:spacing w:val="-13"/>
                <w:sz w:val="20"/>
              </w:rPr>
              <w:t> </w:t>
            </w:r>
            <w:r>
              <w:rPr>
                <w:sz w:val="20"/>
              </w:rPr>
              <w:t>admitted</w:t>
            </w:r>
            <w:r>
              <w:rPr>
                <w:spacing w:val="-14"/>
                <w:sz w:val="20"/>
              </w:rPr>
              <w:t> </w:t>
            </w:r>
            <w:r>
              <w:rPr>
                <w:sz w:val="20"/>
              </w:rPr>
              <w:t>into UHSMHT must have a Trust observation chart.</w:t>
            </w:r>
          </w:p>
        </w:tc>
        <w:tc>
          <w:tcPr>
            <w:tcW w:w="1587" w:type="dxa"/>
          </w:tcPr>
          <w:p>
            <w:pPr>
              <w:pStyle w:val="TableParagraph"/>
              <w:ind w:left="525" w:hanging="216"/>
              <w:rPr>
                <w:sz w:val="20"/>
              </w:rPr>
            </w:pPr>
            <w:r>
              <w:rPr>
                <w:spacing w:val="-2"/>
                <w:sz w:val="20"/>
              </w:rPr>
              <w:t>Registered Nurse</w:t>
            </w:r>
          </w:p>
        </w:tc>
        <w:tc>
          <w:tcPr>
            <w:tcW w:w="1764" w:type="dxa"/>
          </w:tcPr>
          <w:p>
            <w:pPr>
              <w:pStyle w:val="TableParagraph"/>
              <w:ind w:left="107" w:right="184"/>
              <w:rPr>
                <w:sz w:val="20"/>
              </w:rPr>
            </w:pPr>
            <w:r>
              <w:rPr>
                <w:spacing w:val="-2"/>
                <w:sz w:val="20"/>
              </w:rPr>
              <w:t>Observation </w:t>
            </w:r>
            <w:r>
              <w:rPr>
                <w:sz w:val="20"/>
              </w:rPr>
              <w:t>chart</w:t>
            </w:r>
            <w:r>
              <w:rPr>
                <w:spacing w:val="-14"/>
                <w:sz w:val="20"/>
              </w:rPr>
              <w:t> </w:t>
            </w:r>
            <w:r>
              <w:rPr>
                <w:sz w:val="20"/>
              </w:rPr>
              <w:t>is</w:t>
            </w:r>
            <w:r>
              <w:rPr>
                <w:spacing w:val="-14"/>
                <w:sz w:val="20"/>
              </w:rPr>
              <w:t> </w:t>
            </w:r>
            <w:r>
              <w:rPr>
                <w:sz w:val="20"/>
              </w:rPr>
              <w:t>present for this </w:t>
            </w:r>
            <w:r>
              <w:rPr>
                <w:spacing w:val="-2"/>
                <w:sz w:val="20"/>
              </w:rPr>
              <w:t>admission</w:t>
            </w:r>
          </w:p>
        </w:tc>
        <w:tc>
          <w:tcPr>
            <w:tcW w:w="2995" w:type="dxa"/>
          </w:tcPr>
          <w:p>
            <w:pPr>
              <w:pStyle w:val="TableParagraph"/>
              <w:spacing w:line="229" w:lineRule="exact"/>
              <w:ind w:left="6"/>
              <w:jc w:val="center"/>
              <w:rPr>
                <w:sz w:val="20"/>
              </w:rPr>
            </w:pPr>
            <w:r>
              <w:rPr>
                <w:spacing w:val="-4"/>
                <w:sz w:val="20"/>
              </w:rPr>
              <w:t>None</w:t>
            </w:r>
          </w:p>
        </w:tc>
        <w:tc>
          <w:tcPr>
            <w:tcW w:w="1067" w:type="dxa"/>
          </w:tcPr>
          <w:p>
            <w:pPr>
              <w:pStyle w:val="TableParagraph"/>
              <w:spacing w:line="229" w:lineRule="exact"/>
              <w:ind w:left="11" w:right="2"/>
              <w:jc w:val="center"/>
              <w:rPr>
                <w:sz w:val="20"/>
              </w:rPr>
            </w:pPr>
            <w:r>
              <w:rPr>
                <w:spacing w:val="-4"/>
                <w:sz w:val="20"/>
              </w:rPr>
              <w:t>100%</w:t>
            </w:r>
          </w:p>
        </w:tc>
      </w:tr>
      <w:tr>
        <w:trPr>
          <w:trHeight w:val="2474" w:hRule="atLeast"/>
        </w:trPr>
        <w:tc>
          <w:tcPr>
            <w:tcW w:w="528" w:type="dxa"/>
          </w:tcPr>
          <w:p>
            <w:pPr>
              <w:pStyle w:val="TableParagraph"/>
              <w:spacing w:line="227" w:lineRule="exact"/>
              <w:ind w:left="107"/>
              <w:rPr>
                <w:rFonts w:ascii="Arial"/>
                <w:b/>
                <w:sz w:val="20"/>
              </w:rPr>
            </w:pPr>
            <w:r>
              <w:rPr>
                <w:rFonts w:ascii="Arial"/>
                <w:b/>
                <w:spacing w:val="-10"/>
                <w:sz w:val="20"/>
              </w:rPr>
              <w:t>2</w:t>
            </w:r>
          </w:p>
        </w:tc>
        <w:tc>
          <w:tcPr>
            <w:tcW w:w="2607" w:type="dxa"/>
          </w:tcPr>
          <w:p>
            <w:pPr>
              <w:pStyle w:val="TableParagraph"/>
              <w:ind w:left="107" w:right="175"/>
              <w:rPr>
                <w:sz w:val="20"/>
              </w:rPr>
            </w:pPr>
            <w:r>
              <w:rPr>
                <w:sz w:val="20"/>
              </w:rPr>
              <w:t>All adult in patients to have observations undertaken</w:t>
            </w:r>
            <w:r>
              <w:rPr>
                <w:spacing w:val="-11"/>
                <w:sz w:val="20"/>
              </w:rPr>
              <w:t> </w:t>
            </w:r>
            <w:r>
              <w:rPr>
                <w:sz w:val="20"/>
              </w:rPr>
              <w:t>12</w:t>
            </w:r>
            <w:r>
              <w:rPr>
                <w:spacing w:val="-10"/>
                <w:sz w:val="20"/>
              </w:rPr>
              <w:t> </w:t>
            </w:r>
            <w:r>
              <w:rPr>
                <w:sz w:val="20"/>
              </w:rPr>
              <w:t>hourly</w:t>
            </w:r>
            <w:r>
              <w:rPr>
                <w:spacing w:val="-11"/>
                <w:sz w:val="20"/>
              </w:rPr>
              <w:t> </w:t>
            </w:r>
            <w:r>
              <w:rPr>
                <w:sz w:val="20"/>
              </w:rPr>
              <w:t>as</w:t>
            </w:r>
            <w:r>
              <w:rPr>
                <w:spacing w:val="-9"/>
                <w:sz w:val="20"/>
              </w:rPr>
              <w:t> </w:t>
            </w:r>
            <w:r>
              <w:rPr>
                <w:sz w:val="20"/>
              </w:rPr>
              <w:t>a minimum standard</w:t>
            </w:r>
          </w:p>
        </w:tc>
        <w:tc>
          <w:tcPr>
            <w:tcW w:w="1587" w:type="dxa"/>
          </w:tcPr>
          <w:p>
            <w:pPr>
              <w:pStyle w:val="TableParagraph"/>
              <w:ind w:left="77" w:right="68"/>
              <w:jc w:val="center"/>
              <w:rPr>
                <w:sz w:val="20"/>
              </w:rPr>
            </w:pPr>
            <w:r>
              <w:rPr>
                <w:sz w:val="20"/>
              </w:rPr>
              <w:t>Ward</w:t>
            </w:r>
            <w:r>
              <w:rPr>
                <w:spacing w:val="-14"/>
                <w:sz w:val="20"/>
              </w:rPr>
              <w:t> </w:t>
            </w:r>
            <w:r>
              <w:rPr>
                <w:sz w:val="20"/>
              </w:rPr>
              <w:t>/</w:t>
            </w:r>
            <w:r>
              <w:rPr>
                <w:spacing w:val="-14"/>
                <w:sz w:val="20"/>
              </w:rPr>
              <w:t> </w:t>
            </w:r>
            <w:r>
              <w:rPr>
                <w:sz w:val="20"/>
              </w:rPr>
              <w:t>Unit </w:t>
            </w:r>
            <w:r>
              <w:rPr>
                <w:spacing w:val="-2"/>
                <w:sz w:val="20"/>
              </w:rPr>
              <w:t>manager</w:t>
            </w:r>
          </w:p>
          <w:p>
            <w:pPr>
              <w:pStyle w:val="TableParagraph"/>
              <w:spacing w:before="229"/>
              <w:ind w:left="77" w:right="68"/>
              <w:jc w:val="center"/>
              <w:rPr>
                <w:sz w:val="20"/>
              </w:rPr>
            </w:pPr>
            <w:r>
              <w:rPr>
                <w:spacing w:val="-2"/>
                <w:sz w:val="20"/>
              </w:rPr>
              <w:t>Registered Nurse</w:t>
            </w:r>
          </w:p>
        </w:tc>
        <w:tc>
          <w:tcPr>
            <w:tcW w:w="1764" w:type="dxa"/>
          </w:tcPr>
          <w:p>
            <w:pPr>
              <w:pStyle w:val="TableParagraph"/>
              <w:ind w:left="107" w:right="184"/>
              <w:rPr>
                <w:sz w:val="20"/>
              </w:rPr>
            </w:pPr>
            <w:r>
              <w:rPr>
                <w:spacing w:val="-2"/>
                <w:sz w:val="20"/>
              </w:rPr>
              <w:t>Documented </w:t>
            </w:r>
            <w:r>
              <w:rPr>
                <w:sz w:val="20"/>
              </w:rPr>
              <w:t>evidence</w:t>
            </w:r>
            <w:r>
              <w:rPr>
                <w:spacing w:val="-14"/>
                <w:sz w:val="20"/>
              </w:rPr>
              <w:t> </w:t>
            </w:r>
            <w:r>
              <w:rPr>
                <w:sz w:val="20"/>
              </w:rPr>
              <w:t>on</w:t>
            </w:r>
            <w:r>
              <w:rPr>
                <w:spacing w:val="-14"/>
                <w:sz w:val="20"/>
              </w:rPr>
              <w:t> </w:t>
            </w:r>
            <w:r>
              <w:rPr>
                <w:sz w:val="20"/>
              </w:rPr>
              <w:t>the </w:t>
            </w:r>
            <w:r>
              <w:rPr>
                <w:spacing w:val="-2"/>
                <w:sz w:val="20"/>
              </w:rPr>
              <w:t>Observation Chart.</w:t>
            </w:r>
          </w:p>
          <w:p>
            <w:pPr>
              <w:pStyle w:val="TableParagraph"/>
              <w:ind w:left="107"/>
              <w:rPr>
                <w:sz w:val="20"/>
              </w:rPr>
            </w:pPr>
            <w:r>
              <w:rPr>
                <w:sz w:val="20"/>
              </w:rPr>
              <w:t>Variance</w:t>
            </w:r>
            <w:r>
              <w:rPr>
                <w:spacing w:val="-12"/>
                <w:sz w:val="20"/>
              </w:rPr>
              <w:t> </w:t>
            </w:r>
            <w:r>
              <w:rPr>
                <w:spacing w:val="-4"/>
                <w:sz w:val="20"/>
              </w:rPr>
              <w:t>form</w:t>
            </w:r>
          </w:p>
        </w:tc>
        <w:tc>
          <w:tcPr>
            <w:tcW w:w="2995" w:type="dxa"/>
          </w:tcPr>
          <w:p>
            <w:pPr>
              <w:pStyle w:val="TableParagraph"/>
              <w:ind w:left="108" w:right="619"/>
              <w:jc w:val="both"/>
              <w:rPr>
                <w:sz w:val="20"/>
              </w:rPr>
            </w:pPr>
            <w:r>
              <w:rPr>
                <w:sz w:val="20"/>
              </w:rPr>
              <w:t>Patients</w:t>
            </w:r>
            <w:r>
              <w:rPr>
                <w:spacing w:val="-14"/>
                <w:sz w:val="20"/>
              </w:rPr>
              <w:t> </w:t>
            </w:r>
            <w:r>
              <w:rPr>
                <w:sz w:val="20"/>
              </w:rPr>
              <w:t>exempt</w:t>
            </w:r>
            <w:r>
              <w:rPr>
                <w:spacing w:val="-14"/>
                <w:sz w:val="20"/>
              </w:rPr>
              <w:t> </w:t>
            </w:r>
            <w:r>
              <w:rPr>
                <w:sz w:val="20"/>
              </w:rPr>
              <w:t>from</w:t>
            </w:r>
            <w:r>
              <w:rPr>
                <w:spacing w:val="-11"/>
                <w:sz w:val="20"/>
              </w:rPr>
              <w:t> </w:t>
            </w:r>
            <w:r>
              <w:rPr>
                <w:sz w:val="20"/>
              </w:rPr>
              <w:t>this standard are:</w:t>
            </w:r>
          </w:p>
          <w:p>
            <w:pPr>
              <w:pStyle w:val="TableParagraph"/>
              <w:spacing w:line="237" w:lineRule="auto" w:before="3"/>
              <w:ind w:left="873" w:right="233" w:hanging="360"/>
              <w:jc w:val="both"/>
              <w:rPr>
                <w:sz w:val="20"/>
              </w:rPr>
            </w:pPr>
            <w:r>
              <w:rPr>
                <w:position w:val="-4"/>
              </w:rPr>
              <w:drawing>
                <wp:inline distT="0" distB="0" distL="0" distR="0">
                  <wp:extent cx="115824" cy="155448"/>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80"/>
                <w:sz w:val="20"/>
              </w:rPr>
              <w:t> </w:t>
            </w:r>
            <w:r>
              <w:rPr>
                <w:sz w:val="20"/>
              </w:rPr>
              <w:t>On</w:t>
            </w:r>
            <w:r>
              <w:rPr>
                <w:spacing w:val="-7"/>
                <w:sz w:val="20"/>
              </w:rPr>
              <w:t> </w:t>
            </w:r>
            <w:r>
              <w:rPr>
                <w:sz w:val="20"/>
              </w:rPr>
              <w:t>the</w:t>
            </w:r>
            <w:r>
              <w:rPr>
                <w:spacing w:val="-6"/>
                <w:sz w:val="20"/>
              </w:rPr>
              <w:t> </w:t>
            </w:r>
            <w:r>
              <w:rPr>
                <w:sz w:val="20"/>
              </w:rPr>
              <w:t>Care</w:t>
            </w:r>
            <w:r>
              <w:rPr>
                <w:spacing w:val="-7"/>
                <w:sz w:val="20"/>
              </w:rPr>
              <w:t> </w:t>
            </w:r>
            <w:r>
              <w:rPr>
                <w:sz w:val="20"/>
              </w:rPr>
              <w:t>of</w:t>
            </w:r>
            <w:r>
              <w:rPr>
                <w:spacing w:val="-5"/>
                <w:sz w:val="20"/>
              </w:rPr>
              <w:t> </w:t>
            </w:r>
            <w:r>
              <w:rPr>
                <w:sz w:val="20"/>
              </w:rPr>
              <w:t>Dying </w:t>
            </w:r>
            <w:r>
              <w:rPr>
                <w:spacing w:val="-2"/>
                <w:sz w:val="20"/>
              </w:rPr>
              <w:t>pathway</w:t>
            </w:r>
          </w:p>
          <w:p>
            <w:pPr>
              <w:pStyle w:val="TableParagraph"/>
              <w:spacing w:line="237" w:lineRule="auto" w:before="5"/>
              <w:ind w:left="873" w:right="801" w:hanging="360"/>
              <w:jc w:val="both"/>
              <w:rPr>
                <w:sz w:val="20"/>
              </w:rPr>
            </w:pPr>
            <w:r>
              <w:rPr>
                <w:position w:val="-4"/>
              </w:rPr>
              <w:drawing>
                <wp:inline distT="0" distB="0" distL="0" distR="0">
                  <wp:extent cx="115824" cy="155448"/>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Patients</w:t>
            </w:r>
            <w:r>
              <w:rPr>
                <w:spacing w:val="-5"/>
                <w:sz w:val="20"/>
              </w:rPr>
              <w:t> </w:t>
            </w:r>
            <w:r>
              <w:rPr>
                <w:sz w:val="20"/>
              </w:rPr>
              <w:t>with</w:t>
            </w:r>
            <w:r>
              <w:rPr>
                <w:spacing w:val="-6"/>
                <w:sz w:val="20"/>
              </w:rPr>
              <w:t> </w:t>
            </w:r>
            <w:r>
              <w:rPr>
                <w:sz w:val="20"/>
              </w:rPr>
              <w:t>a Variance</w:t>
            </w:r>
            <w:r>
              <w:rPr>
                <w:spacing w:val="-14"/>
                <w:sz w:val="20"/>
              </w:rPr>
              <w:t> </w:t>
            </w:r>
            <w:r>
              <w:rPr>
                <w:sz w:val="20"/>
              </w:rPr>
              <w:t>Form </w:t>
            </w:r>
            <w:r>
              <w:rPr>
                <w:spacing w:val="-2"/>
                <w:sz w:val="20"/>
              </w:rPr>
              <w:t>completed</w:t>
            </w:r>
          </w:p>
        </w:tc>
        <w:tc>
          <w:tcPr>
            <w:tcW w:w="1067" w:type="dxa"/>
          </w:tcPr>
          <w:p>
            <w:pPr>
              <w:pStyle w:val="TableParagraph"/>
              <w:spacing w:line="229" w:lineRule="exact"/>
              <w:ind w:left="11" w:right="2"/>
              <w:jc w:val="center"/>
              <w:rPr>
                <w:sz w:val="20"/>
              </w:rPr>
            </w:pPr>
            <w:r>
              <w:rPr>
                <w:spacing w:val="-4"/>
                <w:sz w:val="20"/>
              </w:rPr>
              <w:t>100%</w:t>
            </w:r>
          </w:p>
        </w:tc>
      </w:tr>
      <w:tr>
        <w:trPr>
          <w:trHeight w:val="1867" w:hRule="atLeast"/>
        </w:trPr>
        <w:tc>
          <w:tcPr>
            <w:tcW w:w="528" w:type="dxa"/>
          </w:tcPr>
          <w:p>
            <w:pPr>
              <w:pStyle w:val="TableParagraph"/>
              <w:spacing w:before="196"/>
              <w:ind w:left="107"/>
              <w:rPr>
                <w:rFonts w:ascii="Arial"/>
                <w:b/>
                <w:sz w:val="20"/>
              </w:rPr>
            </w:pPr>
            <w:r>
              <w:rPr>
                <w:rFonts w:ascii="Arial"/>
                <w:b/>
                <w:spacing w:val="-10"/>
                <w:sz w:val="20"/>
              </w:rPr>
              <w:t>3</w:t>
            </w:r>
          </w:p>
        </w:tc>
        <w:tc>
          <w:tcPr>
            <w:tcW w:w="2607" w:type="dxa"/>
          </w:tcPr>
          <w:p>
            <w:pPr>
              <w:pStyle w:val="TableParagraph"/>
              <w:ind w:left="107" w:right="113"/>
              <w:rPr>
                <w:sz w:val="20"/>
              </w:rPr>
            </w:pPr>
            <w:r>
              <w:rPr>
                <w:sz w:val="20"/>
              </w:rPr>
              <w:t>Patients</w:t>
            </w:r>
            <w:r>
              <w:rPr>
                <w:spacing w:val="-13"/>
                <w:sz w:val="20"/>
              </w:rPr>
              <w:t> </w:t>
            </w:r>
            <w:r>
              <w:rPr>
                <w:sz w:val="20"/>
              </w:rPr>
              <w:t>discharged</w:t>
            </w:r>
            <w:r>
              <w:rPr>
                <w:spacing w:val="-14"/>
                <w:sz w:val="20"/>
              </w:rPr>
              <w:t> </w:t>
            </w:r>
            <w:r>
              <w:rPr>
                <w:sz w:val="20"/>
              </w:rPr>
              <w:t>from</w:t>
            </w:r>
            <w:r>
              <w:rPr>
                <w:spacing w:val="-11"/>
                <w:sz w:val="20"/>
              </w:rPr>
              <w:t> </w:t>
            </w:r>
            <w:r>
              <w:rPr>
                <w:sz w:val="20"/>
              </w:rPr>
              <w:t>a higher level of care ie ICU/HDU should have</w:t>
            </w:r>
            <w:r>
              <w:rPr>
                <w:spacing w:val="40"/>
                <w:sz w:val="20"/>
              </w:rPr>
              <w:t> </w:t>
            </w:r>
            <w:r>
              <w:rPr>
                <w:sz w:val="20"/>
              </w:rPr>
              <w:t>their observations recorded 4 hourly for the first 48 hours</w:t>
            </w:r>
          </w:p>
        </w:tc>
        <w:tc>
          <w:tcPr>
            <w:tcW w:w="1587" w:type="dxa"/>
          </w:tcPr>
          <w:p>
            <w:pPr>
              <w:pStyle w:val="TableParagraph"/>
              <w:ind w:left="77" w:right="68"/>
              <w:jc w:val="center"/>
              <w:rPr>
                <w:sz w:val="20"/>
              </w:rPr>
            </w:pPr>
            <w:r>
              <w:rPr>
                <w:sz w:val="20"/>
              </w:rPr>
              <w:t>Ward</w:t>
            </w:r>
            <w:r>
              <w:rPr>
                <w:spacing w:val="-14"/>
                <w:sz w:val="20"/>
              </w:rPr>
              <w:t> </w:t>
            </w:r>
            <w:r>
              <w:rPr>
                <w:sz w:val="20"/>
              </w:rPr>
              <w:t>/</w:t>
            </w:r>
            <w:r>
              <w:rPr>
                <w:spacing w:val="-14"/>
                <w:sz w:val="20"/>
              </w:rPr>
              <w:t> </w:t>
            </w:r>
            <w:r>
              <w:rPr>
                <w:sz w:val="20"/>
              </w:rPr>
              <w:t>Unit </w:t>
            </w:r>
            <w:r>
              <w:rPr>
                <w:spacing w:val="-2"/>
                <w:sz w:val="20"/>
              </w:rPr>
              <w:t>manager</w:t>
            </w:r>
          </w:p>
          <w:p>
            <w:pPr>
              <w:pStyle w:val="TableParagraph"/>
              <w:spacing w:before="228"/>
              <w:ind w:left="77" w:right="68"/>
              <w:jc w:val="center"/>
              <w:rPr>
                <w:sz w:val="20"/>
              </w:rPr>
            </w:pPr>
            <w:r>
              <w:rPr>
                <w:spacing w:val="-2"/>
                <w:sz w:val="20"/>
              </w:rPr>
              <w:t>Registered Nurse</w:t>
            </w:r>
          </w:p>
        </w:tc>
        <w:tc>
          <w:tcPr>
            <w:tcW w:w="1764" w:type="dxa"/>
          </w:tcPr>
          <w:p>
            <w:pPr>
              <w:pStyle w:val="TableParagraph"/>
              <w:ind w:left="107" w:right="184"/>
              <w:rPr>
                <w:sz w:val="20"/>
              </w:rPr>
            </w:pPr>
            <w:r>
              <w:rPr>
                <w:spacing w:val="-2"/>
                <w:sz w:val="20"/>
              </w:rPr>
              <w:t>Documented </w:t>
            </w:r>
            <w:r>
              <w:rPr>
                <w:sz w:val="20"/>
              </w:rPr>
              <w:t>evidence</w:t>
            </w:r>
            <w:r>
              <w:rPr>
                <w:spacing w:val="-14"/>
                <w:sz w:val="20"/>
              </w:rPr>
              <w:t> </w:t>
            </w:r>
            <w:r>
              <w:rPr>
                <w:sz w:val="20"/>
              </w:rPr>
              <w:t>on</w:t>
            </w:r>
            <w:r>
              <w:rPr>
                <w:spacing w:val="-14"/>
                <w:sz w:val="20"/>
              </w:rPr>
              <w:t> </w:t>
            </w:r>
            <w:r>
              <w:rPr>
                <w:sz w:val="20"/>
              </w:rPr>
              <w:t>the </w:t>
            </w:r>
            <w:r>
              <w:rPr>
                <w:spacing w:val="-2"/>
                <w:sz w:val="20"/>
              </w:rPr>
              <w:t>Observation Chart.</w:t>
            </w:r>
          </w:p>
        </w:tc>
        <w:tc>
          <w:tcPr>
            <w:tcW w:w="2995" w:type="dxa"/>
          </w:tcPr>
          <w:p>
            <w:pPr>
              <w:pStyle w:val="TableParagraph"/>
              <w:spacing w:before="11"/>
              <w:ind w:left="919" w:right="171"/>
              <w:rPr>
                <w:sz w:val="20"/>
              </w:rPr>
            </w:pPr>
            <w:r>
              <w:rPr>
                <w:sz w:val="20"/>
              </w:rPr>
              <mc:AlternateContent>
                <mc:Choice Requires="wps">
                  <w:drawing>
                    <wp:anchor distT="0" distB="0" distL="0" distR="0" allowOverlap="1" layoutInCell="1" locked="0" behindDoc="0" simplePos="0" relativeHeight="15732736">
                      <wp:simplePos x="0" y="0"/>
                      <wp:positionH relativeFrom="column">
                        <wp:posOffset>355091</wp:posOffset>
                      </wp:positionH>
                      <wp:positionV relativeFrom="paragraph">
                        <wp:posOffset>-382</wp:posOffset>
                      </wp:positionV>
                      <wp:extent cx="116205" cy="155575"/>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116205" cy="155575"/>
                                <a:chExt cx="116205" cy="155575"/>
                              </a:xfrm>
                            </wpg:grpSpPr>
                            <pic:pic>
                              <pic:nvPicPr>
                                <pic:cNvPr id="100" name="Image 100"/>
                                <pic:cNvPicPr/>
                              </pic:nvPicPr>
                              <pic:blipFill>
                                <a:blip r:embed="rId8" cstate="print"/>
                                <a:stretch>
                                  <a:fillRect/>
                                </a:stretch>
                              </pic:blipFill>
                              <pic:spPr>
                                <a:xfrm>
                                  <a:off x="0" y="0"/>
                                  <a:ext cx="115824" cy="155448"/>
                                </a:xfrm>
                                <a:prstGeom prst="rect">
                                  <a:avLst/>
                                </a:prstGeom>
                              </pic:spPr>
                            </pic:pic>
                          </wpg:wgp>
                        </a:graphicData>
                      </a:graphic>
                    </wp:anchor>
                  </w:drawing>
                </mc:Choice>
                <mc:Fallback>
                  <w:pict>
                    <v:group style="position:absolute;margin-left:27.959995pt;margin-top:-.030121pt;width:9.15pt;height:12.25pt;mso-position-horizontal-relative:column;mso-position-vertical-relative:paragraph;z-index:15732736" id="docshapegroup12" coordorigin="559,-1" coordsize="183,245">
                      <v:shape style="position:absolute;left:559;top:-1;width:183;height:245" type="#_x0000_t75" id="docshape13" stroked="false">
                        <v:imagedata r:id="rId8" o:title=""/>
                      </v:shape>
                      <w10:wrap type="none"/>
                    </v:group>
                  </w:pict>
                </mc:Fallback>
              </mc:AlternateContent>
            </w:r>
            <w:r>
              <w:rPr>
                <w:spacing w:val="-2"/>
                <w:sz w:val="20"/>
              </w:rPr>
              <w:t>Documented </w:t>
            </w:r>
            <w:r>
              <w:rPr>
                <w:sz w:val="20"/>
              </w:rPr>
              <w:t>evidence form a Critical Care Doctor that</w:t>
            </w:r>
            <w:r>
              <w:rPr>
                <w:spacing w:val="-11"/>
                <w:sz w:val="20"/>
              </w:rPr>
              <w:t> </w:t>
            </w:r>
            <w:r>
              <w:rPr>
                <w:sz w:val="20"/>
              </w:rPr>
              <w:t>this</w:t>
            </w:r>
            <w:r>
              <w:rPr>
                <w:spacing w:val="-8"/>
                <w:sz w:val="20"/>
              </w:rPr>
              <w:t> </w:t>
            </w:r>
            <w:r>
              <w:rPr>
                <w:sz w:val="20"/>
              </w:rPr>
              <w:t>would</w:t>
            </w:r>
            <w:r>
              <w:rPr>
                <w:spacing w:val="-11"/>
                <w:sz w:val="20"/>
              </w:rPr>
              <w:t> </w:t>
            </w:r>
            <w:r>
              <w:rPr>
                <w:sz w:val="20"/>
              </w:rPr>
              <w:t>not</w:t>
            </w:r>
            <w:r>
              <w:rPr>
                <w:spacing w:val="-11"/>
                <w:sz w:val="20"/>
              </w:rPr>
              <w:t> </w:t>
            </w:r>
            <w:r>
              <w:rPr>
                <w:sz w:val="20"/>
              </w:rPr>
              <w:t>be </w:t>
            </w:r>
            <w:r>
              <w:rPr>
                <w:spacing w:val="-2"/>
                <w:sz w:val="20"/>
              </w:rPr>
              <w:t>appropriate</w:t>
            </w:r>
          </w:p>
          <w:p>
            <w:pPr>
              <w:pStyle w:val="TableParagraph"/>
              <w:spacing w:line="235" w:lineRule="auto" w:before="7"/>
              <w:ind w:left="919" w:right="171" w:hanging="360"/>
              <w:rPr>
                <w:sz w:val="20"/>
              </w:rPr>
            </w:pPr>
            <w:r>
              <w:rPr>
                <w:position w:val="-4"/>
              </w:rPr>
              <w:drawing>
                <wp:inline distT="0" distB="0" distL="0" distR="0">
                  <wp:extent cx="115824" cy="155448"/>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80"/>
                <w:sz w:val="20"/>
              </w:rPr>
              <w:t> </w:t>
            </w:r>
            <w:r>
              <w:rPr>
                <w:sz w:val="20"/>
              </w:rPr>
              <w:t>On</w:t>
            </w:r>
            <w:r>
              <w:rPr>
                <w:spacing w:val="-7"/>
                <w:sz w:val="20"/>
              </w:rPr>
              <w:t> </w:t>
            </w:r>
            <w:r>
              <w:rPr>
                <w:sz w:val="20"/>
              </w:rPr>
              <w:t>the</w:t>
            </w:r>
            <w:r>
              <w:rPr>
                <w:spacing w:val="-6"/>
                <w:sz w:val="20"/>
              </w:rPr>
              <w:t> </w:t>
            </w:r>
            <w:r>
              <w:rPr>
                <w:sz w:val="20"/>
              </w:rPr>
              <w:t>Care</w:t>
            </w:r>
            <w:r>
              <w:rPr>
                <w:spacing w:val="-7"/>
                <w:sz w:val="20"/>
              </w:rPr>
              <w:t> </w:t>
            </w:r>
            <w:r>
              <w:rPr>
                <w:sz w:val="20"/>
              </w:rPr>
              <w:t>of</w:t>
            </w:r>
            <w:r>
              <w:rPr>
                <w:spacing w:val="-5"/>
                <w:sz w:val="20"/>
              </w:rPr>
              <w:t> </w:t>
            </w:r>
            <w:r>
              <w:rPr>
                <w:sz w:val="20"/>
              </w:rPr>
              <w:t>Dying </w:t>
            </w:r>
            <w:r>
              <w:rPr>
                <w:spacing w:val="-2"/>
                <w:sz w:val="20"/>
              </w:rPr>
              <w:t>pathway</w:t>
            </w:r>
          </w:p>
        </w:tc>
        <w:tc>
          <w:tcPr>
            <w:tcW w:w="1067" w:type="dxa"/>
          </w:tcPr>
          <w:p>
            <w:pPr>
              <w:pStyle w:val="TableParagraph"/>
              <w:spacing w:line="227" w:lineRule="exact"/>
              <w:ind w:left="11" w:right="2"/>
              <w:jc w:val="center"/>
              <w:rPr>
                <w:sz w:val="20"/>
              </w:rPr>
            </w:pPr>
            <w:r>
              <w:rPr>
                <w:spacing w:val="-4"/>
                <w:sz w:val="20"/>
              </w:rPr>
              <w:t>100%</w:t>
            </w:r>
          </w:p>
        </w:tc>
      </w:tr>
      <w:tr>
        <w:trPr>
          <w:trHeight w:val="3384" w:hRule="atLeast"/>
        </w:trPr>
        <w:tc>
          <w:tcPr>
            <w:tcW w:w="528" w:type="dxa"/>
          </w:tcPr>
          <w:p>
            <w:pPr>
              <w:pStyle w:val="TableParagraph"/>
              <w:spacing w:line="225" w:lineRule="exact"/>
              <w:ind w:left="107"/>
              <w:rPr>
                <w:rFonts w:ascii="Arial"/>
                <w:b/>
                <w:sz w:val="20"/>
              </w:rPr>
            </w:pPr>
            <w:r>
              <w:rPr>
                <w:rFonts w:ascii="Arial"/>
                <w:b/>
                <w:spacing w:val="-10"/>
                <w:sz w:val="20"/>
              </w:rPr>
              <w:t>4</w:t>
            </w:r>
          </w:p>
        </w:tc>
        <w:tc>
          <w:tcPr>
            <w:tcW w:w="2607" w:type="dxa"/>
          </w:tcPr>
          <w:p>
            <w:pPr>
              <w:pStyle w:val="TableParagraph"/>
              <w:ind w:left="107" w:right="141"/>
              <w:rPr>
                <w:sz w:val="20"/>
              </w:rPr>
            </w:pPr>
            <w:r>
              <w:rPr>
                <w:sz w:val="20"/>
              </w:rPr>
              <w:t>Frequency</w:t>
            </w:r>
            <w:r>
              <w:rPr>
                <w:spacing w:val="-14"/>
                <w:sz w:val="20"/>
              </w:rPr>
              <w:t> </w:t>
            </w:r>
            <w:r>
              <w:rPr>
                <w:sz w:val="20"/>
              </w:rPr>
              <w:t>of</w:t>
            </w:r>
            <w:r>
              <w:rPr>
                <w:spacing w:val="-14"/>
                <w:sz w:val="20"/>
              </w:rPr>
              <w:t> </w:t>
            </w:r>
            <w:r>
              <w:rPr>
                <w:sz w:val="20"/>
              </w:rPr>
              <w:t>observations to be determined by the Registered nurse in conjunction with the Modified Early Warning Score</w:t>
            </w:r>
            <w:r>
              <w:rPr>
                <w:spacing w:val="-14"/>
                <w:sz w:val="20"/>
              </w:rPr>
              <w:t> </w:t>
            </w:r>
            <w:r>
              <w:rPr>
                <w:sz w:val="20"/>
              </w:rPr>
              <w:t>(MEWS)</w:t>
            </w:r>
            <w:r>
              <w:rPr>
                <w:spacing w:val="-14"/>
                <w:sz w:val="20"/>
              </w:rPr>
              <w:t> </w:t>
            </w:r>
            <w:r>
              <w:rPr>
                <w:sz w:val="20"/>
              </w:rPr>
              <w:t>guidelines. However the patient should have a minimum</w:t>
            </w:r>
            <w:r>
              <w:rPr>
                <w:spacing w:val="40"/>
                <w:sz w:val="20"/>
              </w:rPr>
              <w:t> </w:t>
            </w:r>
            <w:r>
              <w:rPr>
                <w:spacing w:val="-4"/>
                <w:sz w:val="20"/>
              </w:rPr>
              <w:t>of:</w:t>
            </w:r>
          </w:p>
          <w:p>
            <w:pPr>
              <w:pStyle w:val="TableParagraph"/>
              <w:spacing w:line="229" w:lineRule="exact"/>
              <w:ind w:left="107"/>
              <w:rPr>
                <w:sz w:val="20"/>
              </w:rPr>
            </w:pPr>
            <w:r>
              <w:rPr>
                <w:sz w:val="20"/>
              </w:rPr>
              <w:t>12</w:t>
            </w:r>
            <w:r>
              <w:rPr>
                <w:spacing w:val="-5"/>
                <w:sz w:val="20"/>
              </w:rPr>
              <w:t> </w:t>
            </w:r>
            <w:r>
              <w:rPr>
                <w:sz w:val="20"/>
              </w:rPr>
              <w:t>hourly</w:t>
            </w:r>
            <w:r>
              <w:rPr>
                <w:spacing w:val="-5"/>
                <w:sz w:val="20"/>
              </w:rPr>
              <w:t> </w:t>
            </w:r>
            <w:r>
              <w:rPr>
                <w:sz w:val="20"/>
              </w:rPr>
              <w:t>when</w:t>
            </w:r>
            <w:r>
              <w:rPr>
                <w:spacing w:val="-4"/>
                <w:sz w:val="20"/>
              </w:rPr>
              <w:t> </w:t>
            </w:r>
            <w:r>
              <w:rPr>
                <w:sz w:val="20"/>
              </w:rPr>
              <w:t>MEWS</w:t>
            </w:r>
            <w:r>
              <w:rPr>
                <w:spacing w:val="-4"/>
                <w:sz w:val="20"/>
              </w:rPr>
              <w:t> </w:t>
            </w:r>
            <w:r>
              <w:rPr>
                <w:spacing w:val="-10"/>
                <w:sz w:val="20"/>
              </w:rPr>
              <w:t>0</w:t>
            </w:r>
          </w:p>
          <w:p>
            <w:pPr>
              <w:pStyle w:val="TableParagraph"/>
              <w:ind w:left="107"/>
              <w:rPr>
                <w:sz w:val="20"/>
              </w:rPr>
            </w:pPr>
            <w:r>
              <w:rPr>
                <w:sz w:val="20"/>
              </w:rPr>
              <w:t>4</w:t>
            </w:r>
            <w:r>
              <w:rPr>
                <w:spacing w:val="-9"/>
                <w:sz w:val="20"/>
              </w:rPr>
              <w:t> </w:t>
            </w:r>
            <w:r>
              <w:rPr>
                <w:sz w:val="20"/>
              </w:rPr>
              <w:t>hourly</w:t>
            </w:r>
            <w:r>
              <w:rPr>
                <w:spacing w:val="-10"/>
                <w:sz w:val="20"/>
              </w:rPr>
              <w:t> </w:t>
            </w:r>
            <w:r>
              <w:rPr>
                <w:sz w:val="20"/>
              </w:rPr>
              <w:t>when</w:t>
            </w:r>
            <w:r>
              <w:rPr>
                <w:spacing w:val="-10"/>
                <w:sz w:val="20"/>
              </w:rPr>
              <w:t> </w:t>
            </w:r>
            <w:r>
              <w:rPr>
                <w:sz w:val="20"/>
              </w:rPr>
              <w:t>MEWS</w:t>
            </w:r>
            <w:r>
              <w:rPr>
                <w:spacing w:val="-9"/>
                <w:sz w:val="20"/>
              </w:rPr>
              <w:t> </w:t>
            </w:r>
            <w:r>
              <w:rPr>
                <w:sz w:val="20"/>
              </w:rPr>
              <w:t>1-2 1hourly when MEWS 3-6 every 30 minutes when MEWS 7 or more</w:t>
            </w:r>
          </w:p>
        </w:tc>
        <w:tc>
          <w:tcPr>
            <w:tcW w:w="1587" w:type="dxa"/>
          </w:tcPr>
          <w:p>
            <w:pPr>
              <w:pStyle w:val="TableParagraph"/>
              <w:ind w:left="77" w:right="68"/>
              <w:jc w:val="center"/>
              <w:rPr>
                <w:sz w:val="20"/>
              </w:rPr>
            </w:pPr>
            <w:r>
              <w:rPr>
                <w:sz w:val="20"/>
              </w:rPr>
              <w:t>Ward</w:t>
            </w:r>
            <w:r>
              <w:rPr>
                <w:spacing w:val="-14"/>
                <w:sz w:val="20"/>
              </w:rPr>
              <w:t> </w:t>
            </w:r>
            <w:r>
              <w:rPr>
                <w:sz w:val="20"/>
              </w:rPr>
              <w:t>/</w:t>
            </w:r>
            <w:r>
              <w:rPr>
                <w:spacing w:val="-14"/>
                <w:sz w:val="20"/>
              </w:rPr>
              <w:t> </w:t>
            </w:r>
            <w:r>
              <w:rPr>
                <w:sz w:val="20"/>
              </w:rPr>
              <w:t>Unit </w:t>
            </w:r>
            <w:r>
              <w:rPr>
                <w:spacing w:val="-2"/>
                <w:sz w:val="20"/>
              </w:rPr>
              <w:t>manager</w:t>
            </w:r>
          </w:p>
          <w:p>
            <w:pPr>
              <w:pStyle w:val="TableParagraph"/>
              <w:spacing w:before="228"/>
              <w:ind w:left="309" w:right="300"/>
              <w:jc w:val="center"/>
              <w:rPr>
                <w:sz w:val="20"/>
              </w:rPr>
            </w:pPr>
            <w:r>
              <w:rPr>
                <w:spacing w:val="-2"/>
                <w:sz w:val="20"/>
              </w:rPr>
              <w:t>Registered Nurse</w:t>
            </w:r>
            <w:r>
              <w:rPr>
                <w:spacing w:val="40"/>
                <w:sz w:val="20"/>
              </w:rPr>
              <w:t> </w:t>
            </w:r>
            <w:r>
              <w:rPr>
                <w:spacing w:val="-4"/>
                <w:sz w:val="20"/>
              </w:rPr>
              <w:t>(RN)</w:t>
            </w:r>
          </w:p>
          <w:p>
            <w:pPr>
              <w:pStyle w:val="TableParagraph"/>
              <w:spacing w:before="229"/>
              <w:ind w:left="77" w:right="72"/>
              <w:jc w:val="center"/>
              <w:rPr>
                <w:sz w:val="20"/>
              </w:rPr>
            </w:pPr>
            <w:r>
              <w:rPr>
                <w:spacing w:val="-2"/>
                <w:sz w:val="20"/>
              </w:rPr>
              <w:t>Medics</w:t>
            </w:r>
          </w:p>
        </w:tc>
        <w:tc>
          <w:tcPr>
            <w:tcW w:w="1764" w:type="dxa"/>
          </w:tcPr>
          <w:p>
            <w:pPr>
              <w:pStyle w:val="TableParagraph"/>
              <w:ind w:left="107"/>
              <w:rPr>
                <w:sz w:val="20"/>
              </w:rPr>
            </w:pPr>
            <w:r>
              <w:rPr>
                <w:sz w:val="20"/>
              </w:rPr>
              <w:t>To</w:t>
            </w:r>
            <w:r>
              <w:rPr>
                <w:spacing w:val="-13"/>
                <w:sz w:val="20"/>
              </w:rPr>
              <w:t> </w:t>
            </w:r>
            <w:r>
              <w:rPr>
                <w:sz w:val="20"/>
              </w:rPr>
              <w:t>be</w:t>
            </w:r>
            <w:r>
              <w:rPr>
                <w:spacing w:val="-13"/>
                <w:sz w:val="20"/>
              </w:rPr>
              <w:t> </w:t>
            </w:r>
            <w:r>
              <w:rPr>
                <w:sz w:val="20"/>
              </w:rPr>
              <w:t>decided</w:t>
            </w:r>
            <w:r>
              <w:rPr>
                <w:spacing w:val="-12"/>
                <w:sz w:val="20"/>
              </w:rPr>
              <w:t> </w:t>
            </w:r>
            <w:r>
              <w:rPr>
                <w:sz w:val="20"/>
              </w:rPr>
              <w:t>by </w:t>
            </w:r>
            <w:r>
              <w:rPr>
                <w:spacing w:val="-4"/>
                <w:sz w:val="20"/>
              </w:rPr>
              <w:t>the:</w:t>
            </w:r>
          </w:p>
          <w:p>
            <w:pPr>
              <w:pStyle w:val="TableParagraph"/>
              <w:spacing w:before="12"/>
              <w:ind w:left="827"/>
              <w:rPr>
                <w:sz w:val="20"/>
              </w:rPr>
            </w:pPr>
            <w:r>
              <w:rPr>
                <w:sz w:val="20"/>
              </w:rPr>
              <mc:AlternateContent>
                <mc:Choice Requires="wps">
                  <w:drawing>
                    <wp:anchor distT="0" distB="0" distL="0" distR="0" allowOverlap="1" layoutInCell="1" locked="0" behindDoc="1" simplePos="0" relativeHeight="486518784">
                      <wp:simplePos x="0" y="0"/>
                      <wp:positionH relativeFrom="column">
                        <wp:posOffset>297179</wp:posOffset>
                      </wp:positionH>
                      <wp:positionV relativeFrom="paragraph">
                        <wp:posOffset>252</wp:posOffset>
                      </wp:positionV>
                      <wp:extent cx="116205" cy="30988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116205" cy="309880"/>
                                <a:chExt cx="116205" cy="309880"/>
                              </a:xfrm>
                            </wpg:grpSpPr>
                            <pic:pic>
                              <pic:nvPicPr>
                                <pic:cNvPr id="103" name="Image 103"/>
                                <pic:cNvPicPr/>
                              </pic:nvPicPr>
                              <pic:blipFill>
                                <a:blip r:embed="rId35" cstate="print"/>
                                <a:stretch>
                                  <a:fillRect/>
                                </a:stretch>
                              </pic:blipFill>
                              <pic:spPr>
                                <a:xfrm>
                                  <a:off x="0" y="0"/>
                                  <a:ext cx="115824" cy="309372"/>
                                </a:xfrm>
                                <a:prstGeom prst="rect">
                                  <a:avLst/>
                                </a:prstGeom>
                              </pic:spPr>
                            </pic:pic>
                          </wpg:wgp>
                        </a:graphicData>
                      </a:graphic>
                    </wp:anchor>
                  </w:drawing>
                </mc:Choice>
                <mc:Fallback>
                  <w:pict>
                    <v:group style="position:absolute;margin-left:23.399996pt;margin-top:.019885pt;width:9.15pt;height:24.4pt;mso-position-horizontal-relative:column;mso-position-vertical-relative:paragraph;z-index:-16797696" id="docshapegroup14" coordorigin="468,0" coordsize="183,488">
                      <v:shape style="position:absolute;left:468;top:0;width:183;height:488" type="#_x0000_t75" id="docshape15" stroked="false">
                        <v:imagedata r:id="rId35" o:title=""/>
                      </v:shape>
                      <w10:wrap type="none"/>
                    </v:group>
                  </w:pict>
                </mc:Fallback>
              </mc:AlternateContent>
            </w:r>
            <w:r>
              <w:rPr>
                <w:spacing w:val="-5"/>
                <w:sz w:val="20"/>
              </w:rPr>
              <w:t>RN</w:t>
            </w:r>
          </w:p>
          <w:p>
            <w:pPr>
              <w:pStyle w:val="TableParagraph"/>
              <w:spacing w:before="12"/>
              <w:ind w:left="827"/>
              <w:rPr>
                <w:sz w:val="20"/>
              </w:rPr>
            </w:pPr>
            <w:r>
              <w:rPr>
                <w:spacing w:val="-2"/>
                <w:sz w:val="20"/>
              </w:rPr>
              <w:t>Medics</w:t>
            </w:r>
          </w:p>
        </w:tc>
        <w:tc>
          <w:tcPr>
            <w:tcW w:w="2995" w:type="dxa"/>
          </w:tcPr>
          <w:p>
            <w:pPr>
              <w:pStyle w:val="TableParagraph"/>
              <w:numPr>
                <w:ilvl w:val="0"/>
                <w:numId w:val="6"/>
              </w:numPr>
              <w:tabs>
                <w:tab w:pos="540" w:val="left" w:leader="none"/>
              </w:tabs>
              <w:spacing w:line="240" w:lineRule="auto" w:before="0" w:after="0"/>
              <w:ind w:left="540" w:right="790" w:hanging="360"/>
              <w:jc w:val="left"/>
              <w:rPr>
                <w:sz w:val="20"/>
              </w:rPr>
            </w:pPr>
            <w:r>
              <w:rPr>
                <w:sz w:val="20"/>
              </w:rPr>
              <w:t>First</w:t>
            </w:r>
            <w:r>
              <w:rPr>
                <w:spacing w:val="-14"/>
                <w:sz w:val="20"/>
              </w:rPr>
              <w:t> </w:t>
            </w:r>
            <w:r>
              <w:rPr>
                <w:sz w:val="20"/>
              </w:rPr>
              <w:t>24</w:t>
            </w:r>
            <w:r>
              <w:rPr>
                <w:spacing w:val="-14"/>
                <w:sz w:val="20"/>
              </w:rPr>
              <w:t> </w:t>
            </w:r>
            <w:r>
              <w:rPr>
                <w:sz w:val="20"/>
              </w:rPr>
              <w:t>hours</w:t>
            </w:r>
            <w:r>
              <w:rPr>
                <w:spacing w:val="-14"/>
                <w:sz w:val="20"/>
              </w:rPr>
              <w:t> </w:t>
            </w:r>
            <w:r>
              <w:rPr>
                <w:sz w:val="20"/>
              </w:rPr>
              <w:t>post operative period</w:t>
            </w:r>
          </w:p>
          <w:p>
            <w:pPr>
              <w:pStyle w:val="TableParagraph"/>
              <w:numPr>
                <w:ilvl w:val="0"/>
                <w:numId w:val="6"/>
              </w:numPr>
              <w:tabs>
                <w:tab w:pos="540" w:val="left" w:leader="none"/>
              </w:tabs>
              <w:spacing w:line="240" w:lineRule="auto" w:before="0" w:after="0"/>
              <w:ind w:left="540" w:right="322" w:hanging="360"/>
              <w:jc w:val="left"/>
              <w:rPr>
                <w:sz w:val="20"/>
              </w:rPr>
            </w:pPr>
            <w:r>
              <w:rPr>
                <w:sz w:val="20"/>
              </w:rPr>
              <w:t>Patients</w:t>
            </w:r>
            <w:r>
              <w:rPr>
                <w:spacing w:val="-14"/>
                <w:sz w:val="20"/>
              </w:rPr>
              <w:t> </w:t>
            </w:r>
            <w:r>
              <w:rPr>
                <w:sz w:val="20"/>
              </w:rPr>
              <w:t>receiving</w:t>
            </w:r>
            <w:r>
              <w:rPr>
                <w:spacing w:val="-14"/>
                <w:sz w:val="20"/>
              </w:rPr>
              <w:t> </w:t>
            </w:r>
            <w:r>
              <w:rPr>
                <w:sz w:val="20"/>
              </w:rPr>
              <w:t>blood </w:t>
            </w:r>
            <w:r>
              <w:rPr>
                <w:spacing w:val="-2"/>
                <w:sz w:val="20"/>
              </w:rPr>
              <w:t>products</w:t>
            </w:r>
          </w:p>
          <w:p>
            <w:pPr>
              <w:pStyle w:val="TableParagraph"/>
              <w:numPr>
                <w:ilvl w:val="0"/>
                <w:numId w:val="6"/>
              </w:numPr>
              <w:tabs>
                <w:tab w:pos="540" w:val="left" w:leader="none"/>
              </w:tabs>
              <w:spacing w:line="240" w:lineRule="auto" w:before="0" w:after="0"/>
              <w:ind w:left="540" w:right="176" w:hanging="360"/>
              <w:jc w:val="left"/>
              <w:rPr>
                <w:sz w:val="20"/>
              </w:rPr>
            </w:pPr>
            <w:r>
              <w:rPr>
                <w:sz w:val="20"/>
              </w:rPr>
              <w:t>Patients</w:t>
            </w:r>
            <w:r>
              <w:rPr>
                <w:spacing w:val="-9"/>
                <w:sz w:val="20"/>
              </w:rPr>
              <w:t> </w:t>
            </w:r>
            <w:r>
              <w:rPr>
                <w:sz w:val="20"/>
              </w:rPr>
              <w:t>with</w:t>
            </w:r>
            <w:r>
              <w:rPr>
                <w:spacing w:val="-10"/>
                <w:sz w:val="20"/>
              </w:rPr>
              <w:t> </w:t>
            </w:r>
            <w:r>
              <w:rPr>
                <w:sz w:val="20"/>
              </w:rPr>
              <w:t>any</w:t>
            </w:r>
            <w:r>
              <w:rPr>
                <w:spacing w:val="-14"/>
                <w:sz w:val="20"/>
              </w:rPr>
              <w:t> </w:t>
            </w:r>
            <w:r>
              <w:rPr>
                <w:sz w:val="20"/>
              </w:rPr>
              <w:t>types</w:t>
            </w:r>
            <w:r>
              <w:rPr>
                <w:spacing w:val="-9"/>
                <w:sz w:val="20"/>
              </w:rPr>
              <w:t> </w:t>
            </w:r>
            <w:r>
              <w:rPr>
                <w:sz w:val="20"/>
              </w:rPr>
              <w:t>of analgesia infusions (ie epidurals/PCA etc)</w:t>
            </w:r>
          </w:p>
          <w:p>
            <w:pPr>
              <w:pStyle w:val="TableParagraph"/>
              <w:numPr>
                <w:ilvl w:val="0"/>
                <w:numId w:val="6"/>
              </w:numPr>
              <w:tabs>
                <w:tab w:pos="540" w:val="left" w:leader="none"/>
              </w:tabs>
              <w:spacing w:line="240" w:lineRule="auto" w:before="0" w:after="0"/>
              <w:ind w:left="540" w:right="146" w:hanging="360"/>
              <w:jc w:val="left"/>
              <w:rPr>
                <w:sz w:val="20"/>
              </w:rPr>
            </w:pPr>
            <w:r>
              <w:rPr>
                <w:sz w:val="20"/>
              </w:rPr>
              <w:t>Patients</w:t>
            </w:r>
            <w:r>
              <w:rPr>
                <w:spacing w:val="-14"/>
                <w:sz w:val="20"/>
              </w:rPr>
              <w:t> </w:t>
            </w:r>
            <w:r>
              <w:rPr>
                <w:sz w:val="20"/>
              </w:rPr>
              <w:t>on</w:t>
            </w:r>
            <w:r>
              <w:rPr>
                <w:spacing w:val="-14"/>
                <w:sz w:val="20"/>
              </w:rPr>
              <w:t> </w:t>
            </w:r>
            <w:r>
              <w:rPr>
                <w:sz w:val="20"/>
              </w:rPr>
              <w:t>drug</w:t>
            </w:r>
            <w:r>
              <w:rPr>
                <w:spacing w:val="-14"/>
                <w:sz w:val="20"/>
              </w:rPr>
              <w:t> </w:t>
            </w:r>
            <w:r>
              <w:rPr>
                <w:sz w:val="20"/>
              </w:rPr>
              <w:t>infusions requiring specific </w:t>
            </w:r>
            <w:r>
              <w:rPr>
                <w:spacing w:val="-2"/>
                <w:sz w:val="20"/>
              </w:rPr>
              <w:t>observations.</w:t>
            </w:r>
          </w:p>
          <w:p>
            <w:pPr>
              <w:pStyle w:val="TableParagraph"/>
              <w:numPr>
                <w:ilvl w:val="0"/>
                <w:numId w:val="6"/>
              </w:numPr>
              <w:tabs>
                <w:tab w:pos="539" w:val="left" w:leader="none"/>
              </w:tabs>
              <w:spacing w:line="229" w:lineRule="exact" w:before="0" w:after="0"/>
              <w:ind w:left="539" w:right="0" w:hanging="359"/>
              <w:jc w:val="left"/>
              <w:rPr>
                <w:sz w:val="20"/>
              </w:rPr>
            </w:pPr>
            <w:r>
              <w:rPr>
                <w:sz w:val="20"/>
              </w:rPr>
              <w:t>Variance</w:t>
            </w:r>
            <w:r>
              <w:rPr>
                <w:spacing w:val="-12"/>
                <w:sz w:val="20"/>
              </w:rPr>
              <w:t> </w:t>
            </w:r>
            <w:r>
              <w:rPr>
                <w:spacing w:val="-4"/>
                <w:sz w:val="20"/>
              </w:rPr>
              <w:t>Form</w:t>
            </w:r>
          </w:p>
        </w:tc>
        <w:tc>
          <w:tcPr>
            <w:tcW w:w="1067" w:type="dxa"/>
          </w:tcPr>
          <w:p>
            <w:pPr>
              <w:pStyle w:val="TableParagraph"/>
              <w:spacing w:line="227" w:lineRule="exact"/>
              <w:ind w:left="11" w:right="2"/>
              <w:jc w:val="center"/>
              <w:rPr>
                <w:sz w:val="20"/>
              </w:rPr>
            </w:pPr>
            <w:r>
              <w:rPr>
                <w:spacing w:val="-4"/>
                <w:sz w:val="20"/>
              </w:rPr>
              <w:t>100%</w:t>
            </w:r>
          </w:p>
        </w:tc>
      </w:tr>
      <w:tr>
        <w:trPr>
          <w:trHeight w:val="2070" w:hRule="atLeast"/>
        </w:trPr>
        <w:tc>
          <w:tcPr>
            <w:tcW w:w="528" w:type="dxa"/>
          </w:tcPr>
          <w:p>
            <w:pPr>
              <w:pStyle w:val="TableParagraph"/>
              <w:spacing w:line="225" w:lineRule="exact"/>
              <w:ind w:left="107"/>
              <w:rPr>
                <w:rFonts w:ascii="Arial"/>
                <w:b/>
                <w:sz w:val="20"/>
              </w:rPr>
            </w:pPr>
            <w:r>
              <w:rPr>
                <w:rFonts w:ascii="Arial"/>
                <w:b/>
                <w:spacing w:val="-10"/>
                <w:sz w:val="20"/>
              </w:rPr>
              <w:t>5</w:t>
            </w:r>
          </w:p>
        </w:tc>
        <w:tc>
          <w:tcPr>
            <w:tcW w:w="2607" w:type="dxa"/>
          </w:tcPr>
          <w:p>
            <w:pPr>
              <w:pStyle w:val="TableParagraph"/>
              <w:ind w:left="107" w:right="164"/>
              <w:rPr>
                <w:sz w:val="20"/>
              </w:rPr>
            </w:pPr>
            <w:r>
              <w:rPr>
                <w:sz w:val="20"/>
              </w:rPr>
              <w:t>Entries</w:t>
            </w:r>
            <w:r>
              <w:rPr>
                <w:spacing w:val="-14"/>
                <w:sz w:val="20"/>
              </w:rPr>
              <w:t> </w:t>
            </w:r>
            <w:r>
              <w:rPr>
                <w:sz w:val="20"/>
              </w:rPr>
              <w:t>on</w:t>
            </w:r>
            <w:r>
              <w:rPr>
                <w:spacing w:val="-14"/>
                <w:sz w:val="20"/>
              </w:rPr>
              <w:t> </w:t>
            </w:r>
            <w:r>
              <w:rPr>
                <w:sz w:val="20"/>
              </w:rPr>
              <w:t>the</w:t>
            </w:r>
            <w:r>
              <w:rPr>
                <w:spacing w:val="-14"/>
                <w:sz w:val="20"/>
              </w:rPr>
              <w:t> </w:t>
            </w:r>
            <w:r>
              <w:rPr>
                <w:sz w:val="20"/>
              </w:rPr>
              <w:t>observation chart to show clearly the date the observations were recorded.</w:t>
            </w:r>
          </w:p>
        </w:tc>
        <w:tc>
          <w:tcPr>
            <w:tcW w:w="1587" w:type="dxa"/>
          </w:tcPr>
          <w:p>
            <w:pPr>
              <w:pStyle w:val="TableParagraph"/>
              <w:spacing w:line="227" w:lineRule="exact"/>
              <w:ind w:left="77" w:right="72"/>
              <w:jc w:val="center"/>
              <w:rPr>
                <w:sz w:val="20"/>
              </w:rPr>
            </w:pPr>
            <w:r>
              <w:rPr>
                <w:sz w:val="20"/>
              </w:rPr>
              <w:t>Ward</w:t>
            </w:r>
            <w:r>
              <w:rPr>
                <w:spacing w:val="-3"/>
                <w:sz w:val="20"/>
              </w:rPr>
              <w:t> </w:t>
            </w:r>
            <w:r>
              <w:rPr>
                <w:spacing w:val="-2"/>
                <w:sz w:val="20"/>
              </w:rPr>
              <w:t>Manager</w:t>
            </w:r>
          </w:p>
          <w:p>
            <w:pPr>
              <w:pStyle w:val="TableParagraph"/>
              <w:rPr>
                <w:rFonts w:ascii="Arial"/>
                <w:b/>
                <w:sz w:val="20"/>
              </w:rPr>
            </w:pPr>
          </w:p>
          <w:p>
            <w:pPr>
              <w:pStyle w:val="TableParagraph"/>
              <w:spacing w:before="1"/>
              <w:ind w:left="77" w:right="68"/>
              <w:jc w:val="center"/>
              <w:rPr>
                <w:sz w:val="20"/>
              </w:rPr>
            </w:pPr>
            <w:r>
              <w:rPr>
                <w:spacing w:val="-2"/>
                <w:sz w:val="20"/>
              </w:rPr>
              <w:t>Registered Nurse</w:t>
            </w:r>
          </w:p>
          <w:p>
            <w:pPr>
              <w:pStyle w:val="TableParagraph"/>
              <w:spacing w:before="228"/>
              <w:ind w:left="225" w:right="218" w:firstLine="3"/>
              <w:jc w:val="center"/>
              <w:rPr>
                <w:sz w:val="20"/>
              </w:rPr>
            </w:pPr>
            <w:r>
              <w:rPr>
                <w:sz w:val="20"/>
              </w:rPr>
              <w:t>Recorder of </w:t>
            </w:r>
            <w:r>
              <w:rPr>
                <w:spacing w:val="-4"/>
                <w:sz w:val="20"/>
              </w:rPr>
              <w:t>the </w:t>
            </w:r>
            <w:r>
              <w:rPr>
                <w:spacing w:val="-2"/>
                <w:sz w:val="20"/>
              </w:rPr>
              <w:t>observations</w:t>
            </w:r>
          </w:p>
        </w:tc>
        <w:tc>
          <w:tcPr>
            <w:tcW w:w="1764" w:type="dxa"/>
          </w:tcPr>
          <w:p>
            <w:pPr>
              <w:pStyle w:val="TableParagraph"/>
              <w:ind w:left="107" w:right="106"/>
              <w:rPr>
                <w:sz w:val="20"/>
              </w:rPr>
            </w:pPr>
            <w:r>
              <w:rPr>
                <w:spacing w:val="-2"/>
                <w:sz w:val="20"/>
              </w:rPr>
              <w:t>Documented </w:t>
            </w:r>
            <w:r>
              <w:rPr>
                <w:sz w:val="20"/>
              </w:rPr>
              <w:t>evidence on the observation</w:t>
            </w:r>
            <w:r>
              <w:rPr>
                <w:spacing w:val="-14"/>
                <w:sz w:val="20"/>
              </w:rPr>
              <w:t> </w:t>
            </w:r>
            <w:r>
              <w:rPr>
                <w:sz w:val="20"/>
              </w:rPr>
              <w:t>chart that the date is entered on the first set of </w:t>
            </w:r>
            <w:r>
              <w:rPr>
                <w:spacing w:val="-2"/>
                <w:sz w:val="20"/>
              </w:rPr>
              <w:t>observations </w:t>
            </w:r>
            <w:r>
              <w:rPr>
                <w:sz w:val="20"/>
              </w:rPr>
              <w:t>each day.</w:t>
            </w:r>
          </w:p>
        </w:tc>
        <w:tc>
          <w:tcPr>
            <w:tcW w:w="2995" w:type="dxa"/>
          </w:tcPr>
          <w:p>
            <w:pPr>
              <w:pStyle w:val="TableParagraph"/>
              <w:spacing w:line="227" w:lineRule="exact"/>
              <w:ind w:left="6"/>
              <w:jc w:val="center"/>
              <w:rPr>
                <w:sz w:val="20"/>
              </w:rPr>
            </w:pPr>
            <w:r>
              <w:rPr>
                <w:spacing w:val="-4"/>
                <w:sz w:val="20"/>
              </w:rPr>
              <w:t>None</w:t>
            </w:r>
          </w:p>
        </w:tc>
        <w:tc>
          <w:tcPr>
            <w:tcW w:w="1067" w:type="dxa"/>
          </w:tcPr>
          <w:p>
            <w:pPr>
              <w:pStyle w:val="TableParagraph"/>
              <w:spacing w:line="227" w:lineRule="exact"/>
              <w:ind w:left="11" w:right="2"/>
              <w:jc w:val="center"/>
              <w:rPr>
                <w:sz w:val="20"/>
              </w:rPr>
            </w:pPr>
            <w:r>
              <w:rPr>
                <w:spacing w:val="-4"/>
                <w:sz w:val="20"/>
              </w:rPr>
              <w:t>100%</w:t>
            </w:r>
          </w:p>
        </w:tc>
      </w:tr>
    </w:tbl>
    <w:p>
      <w:pPr>
        <w:pStyle w:val="TableParagraph"/>
        <w:spacing w:after="0" w:line="227" w:lineRule="exact"/>
        <w:jc w:val="center"/>
        <w:rPr>
          <w:sz w:val="20"/>
        </w:rPr>
        <w:sectPr>
          <w:pgSz w:w="11910" w:h="16840"/>
          <w:pgMar w:header="0" w:footer="955" w:top="1100" w:bottom="1837" w:left="425" w:right="566"/>
        </w:sect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2340"/>
        <w:gridCol w:w="1800"/>
        <w:gridCol w:w="1800"/>
        <w:gridCol w:w="2676"/>
        <w:gridCol w:w="1283"/>
      </w:tblGrid>
      <w:tr>
        <w:trPr>
          <w:trHeight w:val="1608" w:hRule="atLeast"/>
        </w:trPr>
        <w:tc>
          <w:tcPr>
            <w:tcW w:w="566" w:type="dxa"/>
          </w:tcPr>
          <w:p>
            <w:pPr>
              <w:pStyle w:val="TableParagraph"/>
              <w:spacing w:line="225" w:lineRule="exact"/>
              <w:ind w:left="107"/>
              <w:rPr>
                <w:rFonts w:ascii="Arial"/>
                <w:b/>
                <w:sz w:val="20"/>
              </w:rPr>
            </w:pPr>
            <w:r>
              <w:rPr>
                <w:rFonts w:ascii="Arial"/>
                <w:b/>
                <w:spacing w:val="-10"/>
                <w:sz w:val="20"/>
              </w:rPr>
              <w:t>6</w:t>
            </w:r>
          </w:p>
        </w:tc>
        <w:tc>
          <w:tcPr>
            <w:tcW w:w="2340" w:type="dxa"/>
          </w:tcPr>
          <w:p>
            <w:pPr>
              <w:pStyle w:val="TableParagraph"/>
              <w:ind w:left="108" w:right="108"/>
              <w:rPr>
                <w:sz w:val="20"/>
              </w:rPr>
            </w:pPr>
            <w:r>
              <w:rPr>
                <w:sz w:val="20"/>
              </w:rPr>
              <w:t>All entries on observation</w:t>
            </w:r>
            <w:r>
              <w:rPr>
                <w:spacing w:val="-14"/>
                <w:sz w:val="20"/>
              </w:rPr>
              <w:t> </w:t>
            </w:r>
            <w:r>
              <w:rPr>
                <w:sz w:val="20"/>
              </w:rPr>
              <w:t>chart</w:t>
            </w:r>
            <w:r>
              <w:rPr>
                <w:spacing w:val="-14"/>
                <w:sz w:val="20"/>
              </w:rPr>
              <w:t> </w:t>
            </w:r>
            <w:r>
              <w:rPr>
                <w:sz w:val="20"/>
              </w:rPr>
              <w:t>to specify actual time observations were </w:t>
            </w:r>
            <w:r>
              <w:rPr>
                <w:spacing w:val="-2"/>
                <w:sz w:val="20"/>
              </w:rPr>
              <w:t>undertaken.</w:t>
            </w:r>
          </w:p>
        </w:tc>
        <w:tc>
          <w:tcPr>
            <w:tcW w:w="1800" w:type="dxa"/>
          </w:tcPr>
          <w:p>
            <w:pPr>
              <w:pStyle w:val="TableParagraph"/>
              <w:ind w:left="122" w:right="110" w:hanging="1"/>
              <w:jc w:val="center"/>
              <w:rPr>
                <w:sz w:val="20"/>
              </w:rPr>
            </w:pPr>
            <w:r>
              <w:rPr>
                <w:sz w:val="20"/>
              </w:rPr>
              <w:t>Ward Manager Registered</w:t>
            </w:r>
            <w:r>
              <w:rPr>
                <w:spacing w:val="-14"/>
                <w:sz w:val="20"/>
              </w:rPr>
              <w:t> </w:t>
            </w:r>
            <w:r>
              <w:rPr>
                <w:sz w:val="20"/>
              </w:rPr>
              <w:t>Nurse Recorder of the </w:t>
            </w:r>
            <w:r>
              <w:rPr>
                <w:spacing w:val="-2"/>
                <w:sz w:val="20"/>
              </w:rPr>
              <w:t>observations</w:t>
            </w:r>
          </w:p>
        </w:tc>
        <w:tc>
          <w:tcPr>
            <w:tcW w:w="1800" w:type="dxa"/>
          </w:tcPr>
          <w:p>
            <w:pPr>
              <w:pStyle w:val="TableParagraph"/>
              <w:ind w:left="109" w:right="140"/>
              <w:rPr>
                <w:sz w:val="20"/>
              </w:rPr>
            </w:pPr>
            <w:r>
              <w:rPr>
                <w:spacing w:val="-2"/>
                <w:sz w:val="20"/>
              </w:rPr>
              <w:t>Documented </w:t>
            </w:r>
            <w:r>
              <w:rPr>
                <w:sz w:val="20"/>
              </w:rPr>
              <w:t>evidence on the observation</w:t>
            </w:r>
            <w:r>
              <w:rPr>
                <w:spacing w:val="-14"/>
                <w:sz w:val="20"/>
              </w:rPr>
              <w:t> </w:t>
            </w:r>
            <w:r>
              <w:rPr>
                <w:sz w:val="20"/>
              </w:rPr>
              <w:t>chart that </w:t>
            </w:r>
            <w:r>
              <w:rPr>
                <w:rFonts w:ascii="Arial"/>
                <w:b/>
                <w:sz w:val="20"/>
                <w:u w:val="single"/>
              </w:rPr>
              <w:t>all </w:t>
            </w:r>
            <w:r>
              <w:rPr>
                <w:sz w:val="20"/>
              </w:rPr>
              <w:t>entries specify time.</w:t>
            </w:r>
          </w:p>
        </w:tc>
        <w:tc>
          <w:tcPr>
            <w:tcW w:w="2676" w:type="dxa"/>
          </w:tcPr>
          <w:p>
            <w:pPr>
              <w:pStyle w:val="TableParagraph"/>
              <w:spacing w:line="227" w:lineRule="exact"/>
              <w:ind w:left="11"/>
              <w:jc w:val="center"/>
              <w:rPr>
                <w:sz w:val="20"/>
              </w:rPr>
            </w:pPr>
            <w:r>
              <w:rPr>
                <w:spacing w:val="-4"/>
                <w:sz w:val="20"/>
              </w:rPr>
              <w:t>None</w:t>
            </w:r>
          </w:p>
        </w:tc>
        <w:tc>
          <w:tcPr>
            <w:tcW w:w="1283" w:type="dxa"/>
          </w:tcPr>
          <w:p>
            <w:pPr>
              <w:pStyle w:val="TableParagraph"/>
              <w:spacing w:line="227" w:lineRule="exact"/>
              <w:ind w:left="12"/>
              <w:jc w:val="center"/>
              <w:rPr>
                <w:sz w:val="20"/>
              </w:rPr>
            </w:pPr>
            <w:r>
              <w:rPr>
                <w:spacing w:val="-4"/>
                <w:sz w:val="20"/>
              </w:rPr>
              <w:t>100%</w:t>
            </w:r>
          </w:p>
        </w:tc>
      </w:tr>
      <w:tr>
        <w:trPr>
          <w:trHeight w:val="2695" w:hRule="atLeast"/>
        </w:trPr>
        <w:tc>
          <w:tcPr>
            <w:tcW w:w="566" w:type="dxa"/>
          </w:tcPr>
          <w:p>
            <w:pPr>
              <w:pStyle w:val="TableParagraph"/>
              <w:spacing w:line="225" w:lineRule="exact"/>
              <w:ind w:left="107"/>
              <w:rPr>
                <w:rFonts w:ascii="Arial"/>
                <w:b/>
                <w:sz w:val="20"/>
              </w:rPr>
            </w:pPr>
            <w:r>
              <w:rPr>
                <w:rFonts w:ascii="Arial"/>
                <w:b/>
                <w:spacing w:val="-10"/>
                <w:sz w:val="20"/>
              </w:rPr>
              <w:t>7</w:t>
            </w:r>
          </w:p>
        </w:tc>
        <w:tc>
          <w:tcPr>
            <w:tcW w:w="2340" w:type="dxa"/>
          </w:tcPr>
          <w:p>
            <w:pPr>
              <w:pStyle w:val="TableParagraph"/>
              <w:ind w:left="108" w:right="108"/>
              <w:rPr>
                <w:sz w:val="20"/>
              </w:rPr>
            </w:pPr>
            <w:r>
              <w:rPr>
                <w:sz w:val="20"/>
              </w:rPr>
              <w:t>Each set of observations</w:t>
            </w:r>
            <w:r>
              <w:rPr>
                <w:spacing w:val="-14"/>
                <w:sz w:val="20"/>
              </w:rPr>
              <w:t> </w:t>
            </w:r>
            <w:r>
              <w:rPr>
                <w:sz w:val="20"/>
              </w:rPr>
              <w:t>to</w:t>
            </w:r>
            <w:r>
              <w:rPr>
                <w:spacing w:val="-14"/>
                <w:sz w:val="20"/>
              </w:rPr>
              <w:t> </w:t>
            </w:r>
            <w:r>
              <w:rPr>
                <w:sz w:val="20"/>
              </w:rPr>
              <w:t>include respiratory rate and documented in graph </w:t>
            </w:r>
            <w:r>
              <w:rPr>
                <w:spacing w:val="-2"/>
                <w:sz w:val="20"/>
              </w:rPr>
              <w:t>form.</w:t>
            </w:r>
          </w:p>
        </w:tc>
        <w:tc>
          <w:tcPr>
            <w:tcW w:w="1800" w:type="dxa"/>
          </w:tcPr>
          <w:p>
            <w:pPr>
              <w:pStyle w:val="TableParagraph"/>
              <w:ind w:left="122" w:right="110" w:hanging="1"/>
              <w:jc w:val="center"/>
              <w:rPr>
                <w:sz w:val="20"/>
              </w:rPr>
            </w:pPr>
            <w:r>
              <w:rPr>
                <w:sz w:val="20"/>
              </w:rPr>
              <w:t>Ward Manager Registered</w:t>
            </w:r>
            <w:r>
              <w:rPr>
                <w:spacing w:val="-14"/>
                <w:sz w:val="20"/>
              </w:rPr>
              <w:t> </w:t>
            </w:r>
            <w:r>
              <w:rPr>
                <w:sz w:val="20"/>
              </w:rPr>
              <w:t>Nurse Recorder of the </w:t>
            </w:r>
            <w:r>
              <w:rPr>
                <w:spacing w:val="-2"/>
                <w:sz w:val="20"/>
              </w:rPr>
              <w:t>observations</w:t>
            </w:r>
          </w:p>
        </w:tc>
        <w:tc>
          <w:tcPr>
            <w:tcW w:w="1800" w:type="dxa"/>
          </w:tcPr>
          <w:p>
            <w:pPr>
              <w:pStyle w:val="TableParagraph"/>
              <w:ind w:left="109" w:right="140"/>
              <w:rPr>
                <w:sz w:val="20"/>
              </w:rPr>
            </w:pPr>
            <w:r>
              <w:rPr>
                <w:spacing w:val="-2"/>
                <w:sz w:val="20"/>
              </w:rPr>
              <w:t>Recorded </w:t>
            </w:r>
            <w:r>
              <w:rPr>
                <w:sz w:val="20"/>
              </w:rPr>
              <w:t>evidence on the observation</w:t>
            </w:r>
            <w:r>
              <w:rPr>
                <w:spacing w:val="-14"/>
                <w:sz w:val="20"/>
              </w:rPr>
              <w:t> </w:t>
            </w:r>
            <w:r>
              <w:rPr>
                <w:sz w:val="20"/>
              </w:rPr>
              <w:t>chart that respiratory rate has been </w:t>
            </w:r>
            <w:r>
              <w:rPr>
                <w:spacing w:val="-2"/>
                <w:sz w:val="20"/>
              </w:rPr>
              <w:t>taken.</w:t>
            </w:r>
          </w:p>
        </w:tc>
        <w:tc>
          <w:tcPr>
            <w:tcW w:w="2676" w:type="dxa"/>
          </w:tcPr>
          <w:p>
            <w:pPr>
              <w:pStyle w:val="TableParagraph"/>
              <w:spacing w:line="227" w:lineRule="exact"/>
              <w:ind w:left="11"/>
              <w:jc w:val="center"/>
              <w:rPr>
                <w:sz w:val="20"/>
              </w:rPr>
            </w:pPr>
            <w:r>
              <w:rPr>
                <w:spacing w:val="-4"/>
                <w:sz w:val="20"/>
              </w:rPr>
              <w:t>None</w:t>
            </w:r>
          </w:p>
        </w:tc>
        <w:tc>
          <w:tcPr>
            <w:tcW w:w="1283" w:type="dxa"/>
          </w:tcPr>
          <w:p>
            <w:pPr>
              <w:pStyle w:val="TableParagraph"/>
              <w:spacing w:line="227" w:lineRule="exact"/>
              <w:ind w:left="12"/>
              <w:jc w:val="center"/>
              <w:rPr>
                <w:sz w:val="20"/>
              </w:rPr>
            </w:pPr>
            <w:r>
              <w:rPr>
                <w:spacing w:val="-4"/>
                <w:sz w:val="20"/>
              </w:rPr>
              <w:t>100%</w:t>
            </w:r>
          </w:p>
        </w:tc>
      </w:tr>
      <w:tr>
        <w:trPr>
          <w:trHeight w:val="2116" w:hRule="atLeast"/>
        </w:trPr>
        <w:tc>
          <w:tcPr>
            <w:tcW w:w="566" w:type="dxa"/>
          </w:tcPr>
          <w:p>
            <w:pPr>
              <w:pStyle w:val="TableParagraph"/>
              <w:spacing w:line="225" w:lineRule="exact"/>
              <w:ind w:left="107"/>
              <w:rPr>
                <w:rFonts w:ascii="Arial"/>
                <w:b/>
                <w:sz w:val="20"/>
              </w:rPr>
            </w:pPr>
            <w:r>
              <w:rPr>
                <w:rFonts w:ascii="Arial"/>
                <w:b/>
                <w:spacing w:val="-10"/>
                <w:sz w:val="20"/>
              </w:rPr>
              <w:t>8</w:t>
            </w:r>
          </w:p>
        </w:tc>
        <w:tc>
          <w:tcPr>
            <w:tcW w:w="2340" w:type="dxa"/>
          </w:tcPr>
          <w:p>
            <w:pPr>
              <w:pStyle w:val="TableParagraph"/>
              <w:spacing w:line="237" w:lineRule="auto"/>
              <w:ind w:left="108" w:right="108"/>
              <w:rPr>
                <w:rFonts w:ascii="Arial"/>
                <w:b/>
                <w:sz w:val="20"/>
              </w:rPr>
            </w:pPr>
            <w:r>
              <w:rPr>
                <w:sz w:val="20"/>
              </w:rPr>
              <w:t>Each set of observations</w:t>
            </w:r>
            <w:r>
              <w:rPr>
                <w:spacing w:val="-14"/>
                <w:sz w:val="20"/>
              </w:rPr>
              <w:t> </w:t>
            </w:r>
            <w:r>
              <w:rPr>
                <w:sz w:val="20"/>
              </w:rPr>
              <w:t>to</w:t>
            </w:r>
            <w:r>
              <w:rPr>
                <w:spacing w:val="-14"/>
                <w:sz w:val="20"/>
              </w:rPr>
              <w:t> </w:t>
            </w:r>
            <w:r>
              <w:rPr>
                <w:sz w:val="20"/>
              </w:rPr>
              <w:t>include pulse documented in </w:t>
            </w:r>
            <w:r>
              <w:rPr>
                <w:rFonts w:ascii="Arial"/>
                <w:b/>
                <w:sz w:val="20"/>
              </w:rPr>
              <w:t>graph form.</w:t>
            </w:r>
          </w:p>
        </w:tc>
        <w:tc>
          <w:tcPr>
            <w:tcW w:w="1800" w:type="dxa"/>
          </w:tcPr>
          <w:p>
            <w:pPr>
              <w:pStyle w:val="TableParagraph"/>
              <w:ind w:left="122" w:right="110" w:hanging="1"/>
              <w:jc w:val="center"/>
              <w:rPr>
                <w:sz w:val="20"/>
              </w:rPr>
            </w:pPr>
            <w:r>
              <w:rPr>
                <w:sz w:val="20"/>
              </w:rPr>
              <w:t>Ward Manager Registered</w:t>
            </w:r>
            <w:r>
              <w:rPr>
                <w:spacing w:val="-14"/>
                <w:sz w:val="20"/>
              </w:rPr>
              <w:t> </w:t>
            </w:r>
            <w:r>
              <w:rPr>
                <w:sz w:val="20"/>
              </w:rPr>
              <w:t>Nurse Recorder of the </w:t>
            </w:r>
            <w:r>
              <w:rPr>
                <w:spacing w:val="-2"/>
                <w:sz w:val="20"/>
              </w:rPr>
              <w:t>observations</w:t>
            </w:r>
          </w:p>
        </w:tc>
        <w:tc>
          <w:tcPr>
            <w:tcW w:w="1800" w:type="dxa"/>
          </w:tcPr>
          <w:p>
            <w:pPr>
              <w:pStyle w:val="TableParagraph"/>
              <w:ind w:left="109" w:right="140"/>
              <w:rPr>
                <w:sz w:val="20"/>
              </w:rPr>
            </w:pPr>
            <w:r>
              <w:rPr>
                <w:spacing w:val="-2"/>
                <w:sz w:val="20"/>
              </w:rPr>
              <w:t>Recorded </w:t>
            </w:r>
            <w:r>
              <w:rPr>
                <w:sz w:val="20"/>
              </w:rPr>
              <w:t>evidence on the observation</w:t>
            </w:r>
            <w:r>
              <w:rPr>
                <w:spacing w:val="-14"/>
                <w:sz w:val="20"/>
              </w:rPr>
              <w:t> </w:t>
            </w:r>
            <w:r>
              <w:rPr>
                <w:sz w:val="20"/>
              </w:rPr>
              <w:t>chart that pulse has been taken.</w:t>
            </w:r>
          </w:p>
        </w:tc>
        <w:tc>
          <w:tcPr>
            <w:tcW w:w="2676" w:type="dxa"/>
          </w:tcPr>
          <w:p>
            <w:pPr>
              <w:pStyle w:val="TableParagraph"/>
              <w:spacing w:line="227" w:lineRule="exact"/>
              <w:ind w:left="11"/>
              <w:jc w:val="center"/>
              <w:rPr>
                <w:sz w:val="20"/>
              </w:rPr>
            </w:pPr>
            <w:r>
              <w:rPr>
                <w:spacing w:val="-4"/>
                <w:sz w:val="20"/>
              </w:rPr>
              <w:t>None</w:t>
            </w:r>
          </w:p>
        </w:tc>
        <w:tc>
          <w:tcPr>
            <w:tcW w:w="1283" w:type="dxa"/>
          </w:tcPr>
          <w:p>
            <w:pPr>
              <w:pStyle w:val="TableParagraph"/>
              <w:spacing w:line="227" w:lineRule="exact"/>
              <w:ind w:left="12"/>
              <w:jc w:val="center"/>
              <w:rPr>
                <w:sz w:val="20"/>
              </w:rPr>
            </w:pPr>
            <w:r>
              <w:rPr>
                <w:spacing w:val="-4"/>
                <w:sz w:val="20"/>
              </w:rPr>
              <w:t>100%</w:t>
            </w:r>
          </w:p>
        </w:tc>
      </w:tr>
      <w:tr>
        <w:trPr>
          <w:trHeight w:val="2558" w:hRule="atLeast"/>
        </w:trPr>
        <w:tc>
          <w:tcPr>
            <w:tcW w:w="566" w:type="dxa"/>
          </w:tcPr>
          <w:p>
            <w:pPr>
              <w:pStyle w:val="TableParagraph"/>
              <w:spacing w:line="225" w:lineRule="exact"/>
              <w:ind w:left="107"/>
              <w:rPr>
                <w:rFonts w:ascii="Arial"/>
                <w:b/>
                <w:sz w:val="20"/>
              </w:rPr>
            </w:pPr>
            <w:r>
              <w:rPr>
                <w:rFonts w:ascii="Arial"/>
                <w:b/>
                <w:spacing w:val="-10"/>
                <w:sz w:val="20"/>
              </w:rPr>
              <w:t>9</w:t>
            </w:r>
          </w:p>
        </w:tc>
        <w:tc>
          <w:tcPr>
            <w:tcW w:w="2340" w:type="dxa"/>
          </w:tcPr>
          <w:p>
            <w:pPr>
              <w:pStyle w:val="TableParagraph"/>
              <w:ind w:left="108" w:right="108"/>
              <w:rPr>
                <w:sz w:val="20"/>
              </w:rPr>
            </w:pPr>
            <w:r>
              <w:rPr>
                <w:sz w:val="20"/>
              </w:rPr>
              <w:t>Each set of observations</w:t>
            </w:r>
            <w:r>
              <w:rPr>
                <w:spacing w:val="-14"/>
                <w:sz w:val="20"/>
              </w:rPr>
              <w:t> </w:t>
            </w:r>
            <w:r>
              <w:rPr>
                <w:sz w:val="20"/>
              </w:rPr>
              <w:t>to</w:t>
            </w:r>
            <w:r>
              <w:rPr>
                <w:spacing w:val="-14"/>
                <w:sz w:val="20"/>
              </w:rPr>
              <w:t> </w:t>
            </w:r>
            <w:r>
              <w:rPr>
                <w:sz w:val="20"/>
              </w:rPr>
              <w:t>include systemic blood </w:t>
            </w:r>
            <w:r>
              <w:rPr>
                <w:spacing w:val="-2"/>
                <w:sz w:val="20"/>
              </w:rPr>
              <w:t>pressure.</w:t>
            </w:r>
          </w:p>
        </w:tc>
        <w:tc>
          <w:tcPr>
            <w:tcW w:w="1800" w:type="dxa"/>
          </w:tcPr>
          <w:p>
            <w:pPr>
              <w:pStyle w:val="TableParagraph"/>
              <w:ind w:left="122" w:right="110" w:hanging="1"/>
              <w:jc w:val="center"/>
              <w:rPr>
                <w:sz w:val="20"/>
              </w:rPr>
            </w:pPr>
            <w:r>
              <w:rPr>
                <w:sz w:val="20"/>
              </w:rPr>
              <w:t>Ward Manager Registered</w:t>
            </w:r>
            <w:r>
              <w:rPr>
                <w:spacing w:val="-14"/>
                <w:sz w:val="20"/>
              </w:rPr>
              <w:t> </w:t>
            </w:r>
            <w:r>
              <w:rPr>
                <w:sz w:val="20"/>
              </w:rPr>
              <w:t>Nurse Recorder of the </w:t>
            </w:r>
            <w:r>
              <w:rPr>
                <w:spacing w:val="-2"/>
                <w:sz w:val="20"/>
              </w:rPr>
              <w:t>observations</w:t>
            </w:r>
          </w:p>
        </w:tc>
        <w:tc>
          <w:tcPr>
            <w:tcW w:w="1800" w:type="dxa"/>
          </w:tcPr>
          <w:p>
            <w:pPr>
              <w:pStyle w:val="TableParagraph"/>
              <w:ind w:left="109" w:right="140"/>
              <w:rPr>
                <w:sz w:val="20"/>
              </w:rPr>
            </w:pPr>
            <w:r>
              <w:rPr>
                <w:spacing w:val="-2"/>
                <w:sz w:val="20"/>
              </w:rPr>
              <w:t>Recorded </w:t>
            </w:r>
            <w:r>
              <w:rPr>
                <w:sz w:val="20"/>
              </w:rPr>
              <w:t>evidence on the observation</w:t>
            </w:r>
            <w:r>
              <w:rPr>
                <w:spacing w:val="-14"/>
                <w:sz w:val="20"/>
              </w:rPr>
              <w:t> </w:t>
            </w:r>
            <w:r>
              <w:rPr>
                <w:sz w:val="20"/>
              </w:rPr>
              <w:t>chart that blood pressure has been monitored.</w:t>
            </w:r>
          </w:p>
        </w:tc>
        <w:tc>
          <w:tcPr>
            <w:tcW w:w="2676" w:type="dxa"/>
          </w:tcPr>
          <w:p>
            <w:pPr>
              <w:pStyle w:val="TableParagraph"/>
              <w:spacing w:line="227" w:lineRule="exact"/>
              <w:ind w:left="11"/>
              <w:jc w:val="center"/>
              <w:rPr>
                <w:sz w:val="20"/>
              </w:rPr>
            </w:pPr>
            <w:r>
              <w:rPr>
                <w:spacing w:val="-4"/>
                <w:sz w:val="20"/>
              </w:rPr>
              <w:t>None</w:t>
            </w:r>
          </w:p>
        </w:tc>
        <w:tc>
          <w:tcPr>
            <w:tcW w:w="1283" w:type="dxa"/>
          </w:tcPr>
          <w:p>
            <w:pPr>
              <w:pStyle w:val="TableParagraph"/>
              <w:spacing w:line="227" w:lineRule="exact"/>
              <w:ind w:left="12"/>
              <w:jc w:val="center"/>
              <w:rPr>
                <w:sz w:val="20"/>
              </w:rPr>
            </w:pPr>
            <w:r>
              <w:rPr>
                <w:spacing w:val="-4"/>
                <w:sz w:val="20"/>
              </w:rPr>
              <w:t>100%</w:t>
            </w:r>
          </w:p>
        </w:tc>
      </w:tr>
      <w:tr>
        <w:trPr>
          <w:trHeight w:val="2829" w:hRule="atLeast"/>
        </w:trPr>
        <w:tc>
          <w:tcPr>
            <w:tcW w:w="566" w:type="dxa"/>
          </w:tcPr>
          <w:p>
            <w:pPr>
              <w:pStyle w:val="TableParagraph"/>
              <w:spacing w:line="225" w:lineRule="exact"/>
              <w:ind w:left="107"/>
              <w:rPr>
                <w:rFonts w:ascii="Arial"/>
                <w:b/>
                <w:sz w:val="20"/>
              </w:rPr>
            </w:pPr>
            <w:r>
              <w:rPr>
                <w:rFonts w:ascii="Arial"/>
                <w:b/>
                <w:spacing w:val="-5"/>
                <w:sz w:val="20"/>
              </w:rPr>
              <w:t>10</w:t>
            </w:r>
          </w:p>
        </w:tc>
        <w:tc>
          <w:tcPr>
            <w:tcW w:w="2340" w:type="dxa"/>
          </w:tcPr>
          <w:p>
            <w:pPr>
              <w:pStyle w:val="TableParagraph"/>
              <w:ind w:left="108" w:right="108"/>
              <w:rPr>
                <w:sz w:val="20"/>
              </w:rPr>
            </w:pPr>
            <w:r>
              <w:rPr>
                <w:sz w:val="20"/>
              </w:rPr>
              <w:t>Each set of observations to include Level</w:t>
            </w:r>
            <w:r>
              <w:rPr>
                <w:spacing w:val="-14"/>
                <w:sz w:val="20"/>
              </w:rPr>
              <w:t> </w:t>
            </w:r>
            <w:r>
              <w:rPr>
                <w:sz w:val="20"/>
              </w:rPr>
              <w:t>of</w:t>
            </w:r>
            <w:r>
              <w:rPr>
                <w:spacing w:val="-14"/>
                <w:sz w:val="20"/>
              </w:rPr>
              <w:t> </w:t>
            </w:r>
            <w:r>
              <w:rPr>
                <w:sz w:val="20"/>
              </w:rPr>
              <w:t>Consciousness using the AVPU scale</w:t>
            </w:r>
          </w:p>
        </w:tc>
        <w:tc>
          <w:tcPr>
            <w:tcW w:w="1800" w:type="dxa"/>
          </w:tcPr>
          <w:p>
            <w:pPr>
              <w:pStyle w:val="TableParagraph"/>
              <w:ind w:left="122" w:right="110" w:hanging="1"/>
              <w:jc w:val="center"/>
              <w:rPr>
                <w:sz w:val="20"/>
              </w:rPr>
            </w:pPr>
            <w:r>
              <w:rPr>
                <w:sz w:val="20"/>
              </w:rPr>
              <w:t>Ward Manager Registered</w:t>
            </w:r>
            <w:r>
              <w:rPr>
                <w:spacing w:val="-14"/>
                <w:sz w:val="20"/>
              </w:rPr>
              <w:t> </w:t>
            </w:r>
            <w:r>
              <w:rPr>
                <w:sz w:val="20"/>
              </w:rPr>
              <w:t>Nurse Recorder of the </w:t>
            </w:r>
            <w:r>
              <w:rPr>
                <w:spacing w:val="-2"/>
                <w:sz w:val="20"/>
              </w:rPr>
              <w:t>observations</w:t>
            </w:r>
          </w:p>
        </w:tc>
        <w:tc>
          <w:tcPr>
            <w:tcW w:w="1800" w:type="dxa"/>
          </w:tcPr>
          <w:p>
            <w:pPr>
              <w:pStyle w:val="TableParagraph"/>
              <w:ind w:left="109" w:right="140"/>
              <w:rPr>
                <w:sz w:val="20"/>
              </w:rPr>
            </w:pPr>
            <w:r>
              <w:rPr>
                <w:spacing w:val="-2"/>
                <w:sz w:val="20"/>
              </w:rPr>
              <w:t>Recorded </w:t>
            </w:r>
            <w:r>
              <w:rPr>
                <w:sz w:val="20"/>
              </w:rPr>
              <w:t>evidence on the observation</w:t>
            </w:r>
            <w:r>
              <w:rPr>
                <w:spacing w:val="-14"/>
                <w:sz w:val="20"/>
              </w:rPr>
              <w:t> </w:t>
            </w:r>
            <w:r>
              <w:rPr>
                <w:sz w:val="20"/>
              </w:rPr>
              <w:t>chart that conscious level has been </w:t>
            </w:r>
            <w:r>
              <w:rPr>
                <w:spacing w:val="-2"/>
                <w:sz w:val="20"/>
              </w:rPr>
              <w:t>monitored</w:t>
            </w:r>
          </w:p>
        </w:tc>
        <w:tc>
          <w:tcPr>
            <w:tcW w:w="2676" w:type="dxa"/>
          </w:tcPr>
          <w:p>
            <w:pPr>
              <w:pStyle w:val="TableParagraph"/>
              <w:spacing w:line="227" w:lineRule="exact"/>
              <w:ind w:left="11"/>
              <w:jc w:val="center"/>
              <w:rPr>
                <w:sz w:val="20"/>
              </w:rPr>
            </w:pPr>
            <w:r>
              <w:rPr>
                <w:spacing w:val="-4"/>
                <w:sz w:val="20"/>
              </w:rPr>
              <w:t>None</w:t>
            </w:r>
          </w:p>
        </w:tc>
        <w:tc>
          <w:tcPr>
            <w:tcW w:w="1283" w:type="dxa"/>
          </w:tcPr>
          <w:p>
            <w:pPr>
              <w:pStyle w:val="TableParagraph"/>
              <w:spacing w:line="227" w:lineRule="exact"/>
              <w:ind w:left="12"/>
              <w:jc w:val="center"/>
              <w:rPr>
                <w:sz w:val="20"/>
              </w:rPr>
            </w:pPr>
            <w:r>
              <w:rPr>
                <w:spacing w:val="-4"/>
                <w:sz w:val="20"/>
              </w:rPr>
              <w:t>100%</w:t>
            </w:r>
          </w:p>
        </w:tc>
      </w:tr>
    </w:tbl>
    <w:p>
      <w:pPr>
        <w:pStyle w:val="TableParagraph"/>
        <w:spacing w:after="0" w:line="227" w:lineRule="exact"/>
        <w:jc w:val="center"/>
        <w:rPr>
          <w:sz w:val="20"/>
        </w:rPr>
        <w:sectPr>
          <w:type w:val="continuous"/>
          <w:pgSz w:w="11910" w:h="16840"/>
          <w:pgMar w:header="0" w:footer="955" w:top="680" w:bottom="1140" w:left="425" w:right="566"/>
        </w:sectPr>
      </w:pPr>
    </w:p>
    <w:tbl>
      <w:tblPr>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
        <w:gridCol w:w="2340"/>
        <w:gridCol w:w="1800"/>
        <w:gridCol w:w="1800"/>
        <w:gridCol w:w="2700"/>
        <w:gridCol w:w="1259"/>
      </w:tblGrid>
      <w:tr>
        <w:trPr>
          <w:trHeight w:val="2827" w:hRule="atLeast"/>
        </w:trPr>
        <w:tc>
          <w:tcPr>
            <w:tcW w:w="540" w:type="dxa"/>
          </w:tcPr>
          <w:p>
            <w:pPr>
              <w:pStyle w:val="TableParagraph"/>
              <w:spacing w:before="225"/>
              <w:ind w:left="81"/>
              <w:rPr>
                <w:rFonts w:ascii="Arial"/>
                <w:b/>
                <w:sz w:val="20"/>
              </w:rPr>
            </w:pPr>
            <w:r>
              <w:rPr>
                <w:rFonts w:ascii="Arial"/>
                <w:b/>
                <w:spacing w:val="-5"/>
                <w:sz w:val="20"/>
              </w:rPr>
              <w:t>11</w:t>
            </w:r>
          </w:p>
        </w:tc>
        <w:tc>
          <w:tcPr>
            <w:tcW w:w="2340" w:type="dxa"/>
          </w:tcPr>
          <w:p>
            <w:pPr>
              <w:pStyle w:val="TableParagraph"/>
              <w:spacing w:before="227"/>
              <w:ind w:left="107" w:right="130"/>
              <w:rPr>
                <w:sz w:val="20"/>
              </w:rPr>
            </w:pPr>
            <w:r>
              <w:rPr>
                <w:sz w:val="20"/>
              </w:rPr>
              <w:t>If AVPU = P or U a Trust neurological observation</w:t>
            </w:r>
            <w:r>
              <w:rPr>
                <w:spacing w:val="-14"/>
                <w:sz w:val="20"/>
              </w:rPr>
              <w:t> </w:t>
            </w:r>
            <w:r>
              <w:rPr>
                <w:sz w:val="20"/>
              </w:rPr>
              <w:t>chart</w:t>
            </w:r>
            <w:r>
              <w:rPr>
                <w:spacing w:val="-14"/>
                <w:sz w:val="20"/>
              </w:rPr>
              <w:t> </w:t>
            </w:r>
            <w:r>
              <w:rPr>
                <w:sz w:val="20"/>
              </w:rPr>
              <w:t>is </w:t>
            </w:r>
            <w:r>
              <w:rPr>
                <w:spacing w:val="-2"/>
                <w:sz w:val="20"/>
              </w:rPr>
              <w:t>commenced</w:t>
            </w:r>
          </w:p>
        </w:tc>
        <w:tc>
          <w:tcPr>
            <w:tcW w:w="1800" w:type="dxa"/>
          </w:tcPr>
          <w:p>
            <w:pPr>
              <w:pStyle w:val="TableParagraph"/>
              <w:spacing w:before="227"/>
              <w:ind w:left="122" w:right="110" w:hanging="1"/>
              <w:jc w:val="center"/>
              <w:rPr>
                <w:sz w:val="20"/>
              </w:rPr>
            </w:pPr>
            <w:r>
              <w:rPr>
                <w:sz w:val="20"/>
              </w:rPr>
              <w:t>Ward Manager Registered</w:t>
            </w:r>
            <w:r>
              <w:rPr>
                <w:spacing w:val="-14"/>
                <w:sz w:val="20"/>
              </w:rPr>
              <w:t> </w:t>
            </w:r>
            <w:r>
              <w:rPr>
                <w:sz w:val="20"/>
              </w:rPr>
              <w:t>Nurse Recorder of the </w:t>
            </w:r>
            <w:r>
              <w:rPr>
                <w:spacing w:val="-2"/>
                <w:sz w:val="20"/>
              </w:rPr>
              <w:t>observations</w:t>
            </w:r>
          </w:p>
        </w:tc>
        <w:tc>
          <w:tcPr>
            <w:tcW w:w="1800" w:type="dxa"/>
          </w:tcPr>
          <w:p>
            <w:pPr>
              <w:pStyle w:val="TableParagraph"/>
              <w:spacing w:before="227"/>
              <w:ind w:left="108" w:right="141"/>
              <w:rPr>
                <w:sz w:val="20"/>
              </w:rPr>
            </w:pPr>
            <w:r>
              <w:rPr>
                <w:sz w:val="20"/>
              </w:rPr>
              <w:t>Inclusion of a </w:t>
            </w:r>
            <w:r>
              <w:rPr>
                <w:spacing w:val="-2"/>
                <w:sz w:val="20"/>
              </w:rPr>
              <w:t>neurological </w:t>
            </w:r>
            <w:r>
              <w:rPr>
                <w:sz w:val="20"/>
              </w:rPr>
              <w:t>observation</w:t>
            </w:r>
            <w:r>
              <w:rPr>
                <w:spacing w:val="-14"/>
                <w:sz w:val="20"/>
              </w:rPr>
              <w:t> </w:t>
            </w:r>
            <w:r>
              <w:rPr>
                <w:sz w:val="20"/>
              </w:rPr>
              <w:t>chart in Adult </w:t>
            </w:r>
            <w:r>
              <w:rPr>
                <w:spacing w:val="-2"/>
                <w:sz w:val="20"/>
              </w:rPr>
              <w:t>Observation </w:t>
            </w:r>
            <w:r>
              <w:rPr>
                <w:sz w:val="20"/>
              </w:rPr>
              <w:t>Chart booklet</w:t>
            </w:r>
          </w:p>
        </w:tc>
        <w:tc>
          <w:tcPr>
            <w:tcW w:w="2700" w:type="dxa"/>
          </w:tcPr>
          <w:p>
            <w:pPr>
              <w:pStyle w:val="TableParagraph"/>
              <w:spacing w:before="227"/>
              <w:ind w:left="115" w:right="126"/>
              <w:jc w:val="center"/>
              <w:rPr>
                <w:sz w:val="20"/>
              </w:rPr>
            </w:pPr>
            <w:r>
              <w:rPr>
                <w:spacing w:val="-4"/>
                <w:sz w:val="20"/>
              </w:rPr>
              <w:t>None</w:t>
            </w:r>
          </w:p>
        </w:tc>
        <w:tc>
          <w:tcPr>
            <w:tcW w:w="1259" w:type="dxa"/>
          </w:tcPr>
          <w:p>
            <w:pPr>
              <w:pStyle w:val="TableParagraph"/>
              <w:spacing w:before="227"/>
              <w:ind w:left="11" w:right="21"/>
              <w:jc w:val="center"/>
              <w:rPr>
                <w:sz w:val="20"/>
              </w:rPr>
            </w:pPr>
            <w:r>
              <w:rPr>
                <w:spacing w:val="-4"/>
                <w:sz w:val="20"/>
              </w:rPr>
              <w:t>100%</w:t>
            </w:r>
          </w:p>
        </w:tc>
      </w:tr>
      <w:tr>
        <w:trPr>
          <w:trHeight w:val="3220" w:hRule="atLeast"/>
        </w:trPr>
        <w:tc>
          <w:tcPr>
            <w:tcW w:w="540" w:type="dxa"/>
          </w:tcPr>
          <w:p>
            <w:pPr>
              <w:pStyle w:val="TableParagraph"/>
              <w:spacing w:line="227" w:lineRule="exact"/>
              <w:ind w:left="107"/>
              <w:rPr>
                <w:rFonts w:ascii="Arial"/>
                <w:b/>
                <w:sz w:val="20"/>
              </w:rPr>
            </w:pPr>
            <w:r>
              <w:rPr>
                <w:rFonts w:ascii="Arial"/>
                <w:b/>
                <w:spacing w:val="-5"/>
                <w:sz w:val="20"/>
              </w:rPr>
              <w:t>12</w:t>
            </w:r>
          </w:p>
        </w:tc>
        <w:tc>
          <w:tcPr>
            <w:tcW w:w="2340" w:type="dxa"/>
          </w:tcPr>
          <w:p>
            <w:pPr>
              <w:pStyle w:val="TableParagraph"/>
              <w:ind w:left="107" w:right="108"/>
              <w:rPr>
                <w:sz w:val="20"/>
              </w:rPr>
            </w:pPr>
            <w:r>
              <w:rPr>
                <w:sz w:val="20"/>
              </w:rPr>
              <w:t>Each set of observations</w:t>
            </w:r>
            <w:r>
              <w:rPr>
                <w:spacing w:val="-14"/>
                <w:sz w:val="20"/>
              </w:rPr>
              <w:t> </w:t>
            </w:r>
            <w:r>
              <w:rPr>
                <w:sz w:val="20"/>
              </w:rPr>
              <w:t>to</w:t>
            </w:r>
            <w:r>
              <w:rPr>
                <w:spacing w:val="-14"/>
                <w:sz w:val="20"/>
              </w:rPr>
              <w:t> </w:t>
            </w:r>
            <w:r>
              <w:rPr>
                <w:sz w:val="20"/>
              </w:rPr>
              <w:t>include </w:t>
            </w:r>
            <w:r>
              <w:rPr>
                <w:spacing w:val="-2"/>
                <w:sz w:val="20"/>
              </w:rPr>
              <w:t>Temperature.</w:t>
            </w:r>
          </w:p>
        </w:tc>
        <w:tc>
          <w:tcPr>
            <w:tcW w:w="1800" w:type="dxa"/>
          </w:tcPr>
          <w:p>
            <w:pPr>
              <w:pStyle w:val="TableParagraph"/>
              <w:spacing w:line="477" w:lineRule="auto"/>
              <w:ind w:left="122" w:right="110" w:hanging="1"/>
              <w:jc w:val="center"/>
              <w:rPr>
                <w:sz w:val="20"/>
              </w:rPr>
            </w:pPr>
            <w:r>
              <w:rPr>
                <w:sz w:val="20"/>
              </w:rPr>
              <w:t>Ward Manager Registered</w:t>
            </w:r>
            <w:r>
              <w:rPr>
                <w:spacing w:val="-14"/>
                <w:sz w:val="20"/>
              </w:rPr>
              <w:t> </w:t>
            </w:r>
            <w:r>
              <w:rPr>
                <w:sz w:val="20"/>
              </w:rPr>
              <w:t>Nurse</w:t>
            </w:r>
          </w:p>
          <w:p>
            <w:pPr>
              <w:pStyle w:val="TableParagraph"/>
              <w:spacing w:before="3"/>
              <w:ind w:left="10"/>
              <w:jc w:val="center"/>
              <w:rPr>
                <w:sz w:val="20"/>
              </w:rPr>
            </w:pPr>
            <w:r>
              <w:rPr>
                <w:sz w:val="20"/>
              </w:rPr>
              <w:t>Recorder</w:t>
            </w:r>
            <w:r>
              <w:rPr>
                <w:spacing w:val="-14"/>
                <w:sz w:val="20"/>
              </w:rPr>
              <w:t> </w:t>
            </w:r>
            <w:r>
              <w:rPr>
                <w:sz w:val="20"/>
              </w:rPr>
              <w:t>of</w:t>
            </w:r>
            <w:r>
              <w:rPr>
                <w:spacing w:val="-14"/>
                <w:sz w:val="20"/>
              </w:rPr>
              <w:t> </w:t>
            </w:r>
            <w:r>
              <w:rPr>
                <w:sz w:val="20"/>
              </w:rPr>
              <w:t>the </w:t>
            </w:r>
            <w:r>
              <w:rPr>
                <w:spacing w:val="-2"/>
                <w:sz w:val="20"/>
              </w:rPr>
              <w:t>observations</w:t>
            </w:r>
          </w:p>
        </w:tc>
        <w:tc>
          <w:tcPr>
            <w:tcW w:w="1800" w:type="dxa"/>
          </w:tcPr>
          <w:p>
            <w:pPr>
              <w:pStyle w:val="TableParagraph"/>
              <w:ind w:left="108" w:right="141"/>
              <w:rPr>
                <w:sz w:val="20"/>
              </w:rPr>
            </w:pPr>
            <w:r>
              <w:rPr>
                <w:spacing w:val="-2"/>
                <w:sz w:val="20"/>
              </w:rPr>
              <w:t>Recorded </w:t>
            </w:r>
            <w:r>
              <w:rPr>
                <w:sz w:val="20"/>
              </w:rPr>
              <w:t>evidence on the observation</w:t>
            </w:r>
            <w:r>
              <w:rPr>
                <w:spacing w:val="-14"/>
                <w:sz w:val="20"/>
              </w:rPr>
              <w:t> </w:t>
            </w:r>
            <w:r>
              <w:rPr>
                <w:sz w:val="20"/>
              </w:rPr>
              <w:t>chart that</w:t>
            </w:r>
            <w:r>
              <w:rPr>
                <w:spacing w:val="-14"/>
                <w:sz w:val="20"/>
              </w:rPr>
              <w:t> </w:t>
            </w:r>
            <w:r>
              <w:rPr>
                <w:sz w:val="20"/>
              </w:rPr>
              <w:t>Temperature has been </w:t>
            </w:r>
            <w:r>
              <w:rPr>
                <w:spacing w:val="-2"/>
                <w:sz w:val="20"/>
              </w:rPr>
              <w:t>monitored.</w:t>
            </w:r>
          </w:p>
          <w:p>
            <w:pPr>
              <w:pStyle w:val="TableParagraph"/>
              <w:ind w:left="108" w:right="140"/>
              <w:rPr>
                <w:sz w:val="20"/>
              </w:rPr>
            </w:pPr>
            <w:r>
              <w:rPr>
                <w:spacing w:val="-2"/>
                <w:sz w:val="20"/>
              </w:rPr>
              <w:t>Documented </w:t>
            </w:r>
            <w:r>
              <w:rPr>
                <w:sz w:val="20"/>
              </w:rPr>
              <w:t>method of </w:t>
            </w:r>
            <w:r>
              <w:rPr>
                <w:spacing w:val="-2"/>
                <w:sz w:val="20"/>
              </w:rPr>
              <w:t>temperature recording, </w:t>
            </w:r>
            <w:r>
              <w:rPr>
                <w:sz w:val="20"/>
              </w:rPr>
              <w:t>assumed to be oral (unless</w:t>
            </w:r>
          </w:p>
          <w:p>
            <w:pPr>
              <w:pStyle w:val="TableParagraph"/>
              <w:spacing w:line="229" w:lineRule="exact"/>
              <w:ind w:left="108"/>
              <w:rPr>
                <w:sz w:val="20"/>
              </w:rPr>
            </w:pPr>
            <w:r>
              <w:rPr>
                <w:sz w:val="20"/>
              </w:rPr>
              <w:t>otherwise</w:t>
            </w:r>
            <w:r>
              <w:rPr>
                <w:spacing w:val="-12"/>
                <w:sz w:val="20"/>
              </w:rPr>
              <w:t> </w:t>
            </w:r>
            <w:r>
              <w:rPr>
                <w:spacing w:val="-2"/>
                <w:sz w:val="20"/>
              </w:rPr>
              <w:t>stated</w:t>
            </w:r>
          </w:p>
          <w:p>
            <w:pPr>
              <w:pStyle w:val="TableParagraph"/>
              <w:spacing w:line="212" w:lineRule="exact"/>
              <w:ind w:left="108"/>
              <w:rPr>
                <w:sz w:val="20"/>
              </w:rPr>
            </w:pPr>
            <w:r>
              <w:rPr>
                <w:sz w:val="20"/>
              </w:rPr>
              <w:t>e.g.</w:t>
            </w:r>
            <w:r>
              <w:rPr>
                <w:spacing w:val="-6"/>
                <w:sz w:val="20"/>
              </w:rPr>
              <w:t> </w:t>
            </w:r>
            <w:r>
              <w:rPr>
                <w:spacing w:val="-2"/>
                <w:sz w:val="20"/>
              </w:rPr>
              <w:t>axilla)</w:t>
            </w:r>
          </w:p>
        </w:tc>
        <w:tc>
          <w:tcPr>
            <w:tcW w:w="2700" w:type="dxa"/>
          </w:tcPr>
          <w:p>
            <w:pPr>
              <w:pStyle w:val="TableParagraph"/>
              <w:spacing w:line="229" w:lineRule="exact"/>
              <w:ind w:left="115" w:right="105"/>
              <w:jc w:val="center"/>
              <w:rPr>
                <w:sz w:val="20"/>
              </w:rPr>
            </w:pPr>
            <w:r>
              <w:rPr>
                <w:spacing w:val="-4"/>
                <w:sz w:val="20"/>
              </w:rPr>
              <w:t>None</w:t>
            </w:r>
          </w:p>
        </w:tc>
        <w:tc>
          <w:tcPr>
            <w:tcW w:w="1259" w:type="dxa"/>
          </w:tcPr>
          <w:p>
            <w:pPr>
              <w:pStyle w:val="TableParagraph"/>
              <w:spacing w:line="229" w:lineRule="exact"/>
              <w:ind w:left="21" w:right="10"/>
              <w:jc w:val="center"/>
              <w:rPr>
                <w:sz w:val="20"/>
              </w:rPr>
            </w:pPr>
            <w:r>
              <w:rPr>
                <w:spacing w:val="-4"/>
                <w:sz w:val="20"/>
              </w:rPr>
              <w:t>100%</w:t>
            </w:r>
          </w:p>
        </w:tc>
      </w:tr>
      <w:tr>
        <w:trPr>
          <w:trHeight w:val="2829" w:hRule="atLeast"/>
        </w:trPr>
        <w:tc>
          <w:tcPr>
            <w:tcW w:w="540" w:type="dxa"/>
          </w:tcPr>
          <w:p>
            <w:pPr>
              <w:pStyle w:val="TableParagraph"/>
              <w:spacing w:line="225" w:lineRule="exact"/>
              <w:ind w:left="107"/>
              <w:rPr>
                <w:rFonts w:ascii="Arial"/>
                <w:b/>
                <w:sz w:val="20"/>
              </w:rPr>
            </w:pPr>
            <w:r>
              <w:rPr>
                <w:rFonts w:ascii="Arial"/>
                <w:b/>
                <w:spacing w:val="-5"/>
                <w:sz w:val="20"/>
              </w:rPr>
              <w:t>13</w:t>
            </w:r>
          </w:p>
        </w:tc>
        <w:tc>
          <w:tcPr>
            <w:tcW w:w="2340" w:type="dxa"/>
          </w:tcPr>
          <w:p>
            <w:pPr>
              <w:pStyle w:val="TableParagraph"/>
              <w:ind w:left="107" w:right="108"/>
              <w:rPr>
                <w:sz w:val="20"/>
              </w:rPr>
            </w:pPr>
            <w:r>
              <w:rPr>
                <w:sz w:val="20"/>
              </w:rPr>
              <w:t>Each set of observations</w:t>
            </w:r>
            <w:r>
              <w:rPr>
                <w:spacing w:val="-14"/>
                <w:sz w:val="20"/>
              </w:rPr>
              <w:t> </w:t>
            </w:r>
            <w:r>
              <w:rPr>
                <w:sz w:val="20"/>
              </w:rPr>
              <w:t>to</w:t>
            </w:r>
            <w:r>
              <w:rPr>
                <w:spacing w:val="-14"/>
                <w:sz w:val="20"/>
              </w:rPr>
              <w:t> </w:t>
            </w:r>
            <w:r>
              <w:rPr>
                <w:sz w:val="20"/>
              </w:rPr>
              <w:t>include oxygen saturation</w:t>
            </w:r>
          </w:p>
        </w:tc>
        <w:tc>
          <w:tcPr>
            <w:tcW w:w="1800" w:type="dxa"/>
          </w:tcPr>
          <w:p>
            <w:pPr>
              <w:pStyle w:val="TableParagraph"/>
              <w:spacing w:line="480" w:lineRule="auto"/>
              <w:ind w:left="122" w:right="110" w:hanging="1"/>
              <w:jc w:val="center"/>
              <w:rPr>
                <w:sz w:val="20"/>
              </w:rPr>
            </w:pPr>
            <w:r>
              <w:rPr>
                <w:sz w:val="20"/>
              </w:rPr>
              <w:t>Ward Manager Registered</w:t>
            </w:r>
            <w:r>
              <w:rPr>
                <w:spacing w:val="-14"/>
                <w:sz w:val="20"/>
              </w:rPr>
              <w:t> </w:t>
            </w:r>
            <w:r>
              <w:rPr>
                <w:sz w:val="20"/>
              </w:rPr>
              <w:t>Nurse</w:t>
            </w:r>
          </w:p>
          <w:p>
            <w:pPr>
              <w:pStyle w:val="TableParagraph"/>
              <w:ind w:left="10"/>
              <w:jc w:val="center"/>
              <w:rPr>
                <w:sz w:val="20"/>
              </w:rPr>
            </w:pPr>
            <w:r>
              <w:rPr>
                <w:sz w:val="20"/>
              </w:rPr>
              <w:t>Recorder</w:t>
            </w:r>
            <w:r>
              <w:rPr>
                <w:spacing w:val="-14"/>
                <w:sz w:val="20"/>
              </w:rPr>
              <w:t> </w:t>
            </w:r>
            <w:r>
              <w:rPr>
                <w:sz w:val="20"/>
              </w:rPr>
              <w:t>of</w:t>
            </w:r>
            <w:r>
              <w:rPr>
                <w:spacing w:val="-14"/>
                <w:sz w:val="20"/>
              </w:rPr>
              <w:t> </w:t>
            </w:r>
            <w:r>
              <w:rPr>
                <w:sz w:val="20"/>
              </w:rPr>
              <w:t>the </w:t>
            </w:r>
            <w:r>
              <w:rPr>
                <w:spacing w:val="-2"/>
                <w:sz w:val="20"/>
              </w:rPr>
              <w:t>observations</w:t>
            </w:r>
          </w:p>
        </w:tc>
        <w:tc>
          <w:tcPr>
            <w:tcW w:w="1800" w:type="dxa"/>
          </w:tcPr>
          <w:p>
            <w:pPr>
              <w:pStyle w:val="TableParagraph"/>
              <w:ind w:left="108" w:right="141"/>
              <w:rPr>
                <w:sz w:val="20"/>
              </w:rPr>
            </w:pPr>
            <w:r>
              <w:rPr>
                <w:spacing w:val="-2"/>
                <w:sz w:val="20"/>
              </w:rPr>
              <w:t>Recorded </w:t>
            </w:r>
            <w:r>
              <w:rPr>
                <w:sz w:val="20"/>
              </w:rPr>
              <w:t>evidence on the observation</w:t>
            </w:r>
            <w:r>
              <w:rPr>
                <w:spacing w:val="-14"/>
                <w:sz w:val="20"/>
              </w:rPr>
              <w:t> </w:t>
            </w:r>
            <w:r>
              <w:rPr>
                <w:sz w:val="20"/>
              </w:rPr>
              <w:t>chart that oxygen saturation has been monitored, and percentage of oxygen </w:t>
            </w:r>
            <w:r>
              <w:rPr>
                <w:spacing w:val="-2"/>
                <w:sz w:val="20"/>
              </w:rPr>
              <w:t>received.</w:t>
            </w:r>
          </w:p>
        </w:tc>
        <w:tc>
          <w:tcPr>
            <w:tcW w:w="2700" w:type="dxa"/>
          </w:tcPr>
          <w:p>
            <w:pPr>
              <w:pStyle w:val="TableParagraph"/>
              <w:spacing w:line="227" w:lineRule="exact"/>
              <w:ind w:left="115" w:right="105"/>
              <w:jc w:val="center"/>
              <w:rPr>
                <w:sz w:val="20"/>
              </w:rPr>
            </w:pPr>
            <w:r>
              <w:rPr>
                <w:spacing w:val="-4"/>
                <w:sz w:val="20"/>
              </w:rPr>
              <w:t>None</w:t>
            </w:r>
          </w:p>
        </w:tc>
        <w:tc>
          <w:tcPr>
            <w:tcW w:w="1259" w:type="dxa"/>
          </w:tcPr>
          <w:p>
            <w:pPr>
              <w:pStyle w:val="TableParagraph"/>
              <w:spacing w:line="227" w:lineRule="exact"/>
              <w:ind w:left="21" w:right="10"/>
              <w:jc w:val="center"/>
              <w:rPr>
                <w:sz w:val="20"/>
              </w:rPr>
            </w:pPr>
            <w:r>
              <w:rPr>
                <w:spacing w:val="-4"/>
                <w:sz w:val="20"/>
              </w:rPr>
              <w:t>100%</w:t>
            </w:r>
          </w:p>
        </w:tc>
      </w:tr>
      <w:tr>
        <w:trPr>
          <w:trHeight w:val="2071" w:hRule="atLeast"/>
        </w:trPr>
        <w:tc>
          <w:tcPr>
            <w:tcW w:w="540" w:type="dxa"/>
          </w:tcPr>
          <w:p>
            <w:pPr>
              <w:pStyle w:val="TableParagraph"/>
              <w:spacing w:line="225" w:lineRule="exact"/>
              <w:ind w:left="107"/>
              <w:rPr>
                <w:rFonts w:ascii="Arial"/>
                <w:b/>
                <w:sz w:val="20"/>
              </w:rPr>
            </w:pPr>
            <w:r>
              <w:rPr>
                <w:rFonts w:ascii="Arial"/>
                <w:b/>
                <w:spacing w:val="-5"/>
                <w:sz w:val="20"/>
              </w:rPr>
              <w:t>14</w:t>
            </w:r>
          </w:p>
        </w:tc>
        <w:tc>
          <w:tcPr>
            <w:tcW w:w="2340" w:type="dxa"/>
          </w:tcPr>
          <w:p>
            <w:pPr>
              <w:pStyle w:val="TableParagraph"/>
              <w:ind w:left="107" w:right="130"/>
              <w:rPr>
                <w:sz w:val="20"/>
              </w:rPr>
            </w:pPr>
            <w:r>
              <w:rPr>
                <w:sz w:val="20"/>
              </w:rPr>
              <w:t>Each set of observations</w:t>
            </w:r>
            <w:r>
              <w:rPr>
                <w:spacing w:val="-14"/>
                <w:sz w:val="20"/>
              </w:rPr>
              <w:t> </w:t>
            </w:r>
            <w:r>
              <w:rPr>
                <w:sz w:val="20"/>
              </w:rPr>
              <w:t>to</w:t>
            </w:r>
            <w:r>
              <w:rPr>
                <w:spacing w:val="-14"/>
                <w:sz w:val="20"/>
              </w:rPr>
              <w:t> </w:t>
            </w:r>
            <w:r>
              <w:rPr>
                <w:sz w:val="20"/>
              </w:rPr>
              <w:t>include mode of oxygen delivery using the Key on the observation </w:t>
            </w:r>
            <w:r>
              <w:rPr>
                <w:spacing w:val="-2"/>
                <w:sz w:val="20"/>
              </w:rPr>
              <w:t>booklet</w:t>
            </w:r>
          </w:p>
        </w:tc>
        <w:tc>
          <w:tcPr>
            <w:tcW w:w="1800" w:type="dxa"/>
          </w:tcPr>
          <w:p>
            <w:pPr>
              <w:pStyle w:val="TableParagraph"/>
              <w:spacing w:line="227" w:lineRule="exact"/>
              <w:ind w:left="10" w:right="6"/>
              <w:jc w:val="center"/>
              <w:rPr>
                <w:sz w:val="20"/>
              </w:rPr>
            </w:pPr>
            <w:r>
              <w:rPr>
                <w:sz w:val="20"/>
              </w:rPr>
              <w:t>Ward</w:t>
            </w:r>
            <w:r>
              <w:rPr>
                <w:spacing w:val="-3"/>
                <w:sz w:val="20"/>
              </w:rPr>
              <w:t> </w:t>
            </w:r>
            <w:r>
              <w:rPr>
                <w:spacing w:val="-2"/>
                <w:sz w:val="20"/>
              </w:rPr>
              <w:t>Manager</w:t>
            </w:r>
          </w:p>
          <w:p>
            <w:pPr>
              <w:pStyle w:val="TableParagraph"/>
              <w:rPr>
                <w:rFonts w:ascii="Arial"/>
                <w:b/>
                <w:sz w:val="20"/>
              </w:rPr>
            </w:pPr>
          </w:p>
          <w:p>
            <w:pPr>
              <w:pStyle w:val="TableParagraph"/>
              <w:spacing w:before="1"/>
              <w:ind w:left="10" w:right="1"/>
              <w:jc w:val="center"/>
              <w:rPr>
                <w:sz w:val="20"/>
              </w:rPr>
            </w:pPr>
            <w:r>
              <w:rPr>
                <w:spacing w:val="-2"/>
                <w:sz w:val="20"/>
              </w:rPr>
              <w:t>Registered</w:t>
            </w:r>
            <w:r>
              <w:rPr>
                <w:spacing w:val="4"/>
                <w:sz w:val="20"/>
              </w:rPr>
              <w:t> </w:t>
            </w:r>
            <w:r>
              <w:rPr>
                <w:spacing w:val="-2"/>
                <w:sz w:val="20"/>
              </w:rPr>
              <w:t>Nurse</w:t>
            </w:r>
          </w:p>
          <w:p>
            <w:pPr>
              <w:pStyle w:val="TableParagraph"/>
              <w:rPr>
                <w:rFonts w:ascii="Arial"/>
                <w:b/>
                <w:sz w:val="20"/>
              </w:rPr>
            </w:pPr>
          </w:p>
          <w:p>
            <w:pPr>
              <w:pStyle w:val="TableParagraph"/>
              <w:ind w:left="10"/>
              <w:jc w:val="center"/>
              <w:rPr>
                <w:sz w:val="20"/>
              </w:rPr>
            </w:pPr>
            <w:r>
              <w:rPr>
                <w:sz w:val="20"/>
              </w:rPr>
              <w:t>Recorder</w:t>
            </w:r>
            <w:r>
              <w:rPr>
                <w:spacing w:val="-14"/>
                <w:sz w:val="20"/>
              </w:rPr>
              <w:t> </w:t>
            </w:r>
            <w:r>
              <w:rPr>
                <w:sz w:val="20"/>
              </w:rPr>
              <w:t>of</w:t>
            </w:r>
            <w:r>
              <w:rPr>
                <w:spacing w:val="-14"/>
                <w:sz w:val="20"/>
              </w:rPr>
              <w:t> </w:t>
            </w:r>
            <w:r>
              <w:rPr>
                <w:sz w:val="20"/>
              </w:rPr>
              <w:t>the </w:t>
            </w:r>
            <w:r>
              <w:rPr>
                <w:spacing w:val="-2"/>
                <w:sz w:val="20"/>
              </w:rPr>
              <w:t>observations</w:t>
            </w:r>
          </w:p>
        </w:tc>
        <w:tc>
          <w:tcPr>
            <w:tcW w:w="1800" w:type="dxa"/>
          </w:tcPr>
          <w:p>
            <w:pPr>
              <w:pStyle w:val="TableParagraph"/>
              <w:ind w:left="108" w:right="141"/>
              <w:rPr>
                <w:sz w:val="20"/>
              </w:rPr>
            </w:pPr>
            <w:r>
              <w:rPr>
                <w:spacing w:val="-2"/>
                <w:sz w:val="20"/>
              </w:rPr>
              <w:t>Recorded </w:t>
            </w:r>
            <w:r>
              <w:rPr>
                <w:sz w:val="20"/>
              </w:rPr>
              <w:t>evidence on the observation</w:t>
            </w:r>
            <w:r>
              <w:rPr>
                <w:spacing w:val="-14"/>
                <w:sz w:val="20"/>
              </w:rPr>
              <w:t> </w:t>
            </w:r>
            <w:r>
              <w:rPr>
                <w:sz w:val="20"/>
              </w:rPr>
              <w:t>chart that mode of oxygen delivery has been </w:t>
            </w:r>
            <w:r>
              <w:rPr>
                <w:spacing w:val="-2"/>
                <w:sz w:val="20"/>
              </w:rPr>
              <w:t>recorded.</w:t>
            </w:r>
          </w:p>
        </w:tc>
        <w:tc>
          <w:tcPr>
            <w:tcW w:w="2700" w:type="dxa"/>
          </w:tcPr>
          <w:p>
            <w:pPr>
              <w:pStyle w:val="TableParagraph"/>
              <w:spacing w:line="227" w:lineRule="exact"/>
              <w:ind w:left="115" w:right="105"/>
              <w:jc w:val="center"/>
              <w:rPr>
                <w:sz w:val="20"/>
              </w:rPr>
            </w:pPr>
            <w:r>
              <w:rPr>
                <w:spacing w:val="-4"/>
                <w:sz w:val="20"/>
              </w:rPr>
              <w:t>None</w:t>
            </w:r>
          </w:p>
        </w:tc>
        <w:tc>
          <w:tcPr>
            <w:tcW w:w="1259" w:type="dxa"/>
          </w:tcPr>
          <w:p>
            <w:pPr>
              <w:pStyle w:val="TableParagraph"/>
              <w:spacing w:line="227" w:lineRule="exact"/>
              <w:ind w:left="21" w:right="10"/>
              <w:jc w:val="center"/>
              <w:rPr>
                <w:sz w:val="20"/>
              </w:rPr>
            </w:pPr>
            <w:r>
              <w:rPr>
                <w:spacing w:val="-4"/>
                <w:sz w:val="20"/>
              </w:rPr>
              <w:t>100%</w:t>
            </w:r>
          </w:p>
        </w:tc>
      </w:tr>
      <w:tr>
        <w:trPr>
          <w:trHeight w:val="2829" w:hRule="atLeast"/>
        </w:trPr>
        <w:tc>
          <w:tcPr>
            <w:tcW w:w="540" w:type="dxa"/>
          </w:tcPr>
          <w:p>
            <w:pPr>
              <w:pStyle w:val="TableParagraph"/>
              <w:spacing w:line="225" w:lineRule="exact"/>
              <w:ind w:left="107"/>
              <w:rPr>
                <w:rFonts w:ascii="Arial"/>
                <w:b/>
                <w:sz w:val="20"/>
              </w:rPr>
            </w:pPr>
            <w:r>
              <w:rPr>
                <w:rFonts w:ascii="Arial"/>
                <w:b/>
                <w:spacing w:val="-5"/>
                <w:sz w:val="20"/>
              </w:rPr>
              <w:t>15</w:t>
            </w:r>
          </w:p>
        </w:tc>
        <w:tc>
          <w:tcPr>
            <w:tcW w:w="2340" w:type="dxa"/>
          </w:tcPr>
          <w:p>
            <w:pPr>
              <w:pStyle w:val="TableParagraph"/>
              <w:ind w:left="107" w:right="108"/>
              <w:rPr>
                <w:sz w:val="20"/>
              </w:rPr>
            </w:pPr>
            <w:r>
              <w:rPr>
                <w:sz w:val="20"/>
              </w:rPr>
              <w:t>Each set of observations</w:t>
            </w:r>
            <w:r>
              <w:rPr>
                <w:spacing w:val="-14"/>
                <w:sz w:val="20"/>
              </w:rPr>
              <w:t> </w:t>
            </w:r>
            <w:r>
              <w:rPr>
                <w:sz w:val="20"/>
              </w:rPr>
              <w:t>to</w:t>
            </w:r>
            <w:r>
              <w:rPr>
                <w:spacing w:val="-14"/>
                <w:sz w:val="20"/>
              </w:rPr>
              <w:t> </w:t>
            </w:r>
            <w:r>
              <w:rPr>
                <w:sz w:val="20"/>
              </w:rPr>
              <w:t>include an accurate Modified Early Warning Score</w:t>
            </w:r>
          </w:p>
        </w:tc>
        <w:tc>
          <w:tcPr>
            <w:tcW w:w="1800" w:type="dxa"/>
          </w:tcPr>
          <w:p>
            <w:pPr>
              <w:pStyle w:val="TableParagraph"/>
              <w:spacing w:line="227" w:lineRule="exact"/>
              <w:ind w:left="10" w:right="1"/>
              <w:jc w:val="center"/>
              <w:rPr>
                <w:sz w:val="20"/>
              </w:rPr>
            </w:pPr>
            <w:r>
              <w:rPr>
                <w:sz w:val="20"/>
              </w:rPr>
              <w:t>Ward</w:t>
            </w:r>
            <w:r>
              <w:rPr>
                <w:spacing w:val="-3"/>
                <w:sz w:val="20"/>
              </w:rPr>
              <w:t> </w:t>
            </w:r>
            <w:r>
              <w:rPr>
                <w:spacing w:val="-2"/>
                <w:sz w:val="20"/>
              </w:rPr>
              <w:t>Manager</w:t>
            </w:r>
          </w:p>
          <w:p>
            <w:pPr>
              <w:pStyle w:val="TableParagraph"/>
              <w:rPr>
                <w:rFonts w:ascii="Arial"/>
                <w:b/>
                <w:sz w:val="20"/>
              </w:rPr>
            </w:pPr>
          </w:p>
          <w:p>
            <w:pPr>
              <w:pStyle w:val="TableParagraph"/>
              <w:spacing w:before="1"/>
              <w:ind w:left="10" w:right="1"/>
              <w:jc w:val="center"/>
              <w:rPr>
                <w:sz w:val="20"/>
              </w:rPr>
            </w:pPr>
            <w:r>
              <w:rPr>
                <w:spacing w:val="-2"/>
                <w:sz w:val="20"/>
              </w:rPr>
              <w:t>Registered</w:t>
            </w:r>
            <w:r>
              <w:rPr>
                <w:spacing w:val="4"/>
                <w:sz w:val="20"/>
              </w:rPr>
              <w:t> </w:t>
            </w:r>
            <w:r>
              <w:rPr>
                <w:spacing w:val="-2"/>
                <w:sz w:val="20"/>
              </w:rPr>
              <w:t>Nurse</w:t>
            </w:r>
          </w:p>
          <w:p>
            <w:pPr>
              <w:pStyle w:val="TableParagraph"/>
              <w:spacing w:before="228"/>
              <w:ind w:left="10"/>
              <w:jc w:val="center"/>
              <w:rPr>
                <w:sz w:val="20"/>
              </w:rPr>
            </w:pPr>
            <w:r>
              <w:rPr>
                <w:sz w:val="20"/>
              </w:rPr>
              <w:t>Recorder</w:t>
            </w:r>
            <w:r>
              <w:rPr>
                <w:spacing w:val="-14"/>
                <w:sz w:val="20"/>
              </w:rPr>
              <w:t> </w:t>
            </w:r>
            <w:r>
              <w:rPr>
                <w:sz w:val="20"/>
              </w:rPr>
              <w:t>of</w:t>
            </w:r>
            <w:r>
              <w:rPr>
                <w:spacing w:val="-14"/>
                <w:sz w:val="20"/>
              </w:rPr>
              <w:t> </w:t>
            </w:r>
            <w:r>
              <w:rPr>
                <w:sz w:val="20"/>
              </w:rPr>
              <w:t>the </w:t>
            </w:r>
            <w:r>
              <w:rPr>
                <w:spacing w:val="-2"/>
                <w:sz w:val="20"/>
              </w:rPr>
              <w:t>observations</w:t>
            </w:r>
          </w:p>
        </w:tc>
        <w:tc>
          <w:tcPr>
            <w:tcW w:w="1800" w:type="dxa"/>
          </w:tcPr>
          <w:p>
            <w:pPr>
              <w:pStyle w:val="TableParagraph"/>
              <w:ind w:left="108" w:right="141"/>
              <w:rPr>
                <w:sz w:val="20"/>
              </w:rPr>
            </w:pPr>
            <w:r>
              <w:rPr>
                <w:spacing w:val="-2"/>
                <w:sz w:val="20"/>
              </w:rPr>
              <w:t>Recorded </w:t>
            </w:r>
            <w:r>
              <w:rPr>
                <w:sz w:val="20"/>
              </w:rPr>
              <w:t>evidence on the observation</w:t>
            </w:r>
            <w:r>
              <w:rPr>
                <w:spacing w:val="-14"/>
                <w:sz w:val="20"/>
              </w:rPr>
              <w:t> </w:t>
            </w:r>
            <w:r>
              <w:rPr>
                <w:sz w:val="20"/>
              </w:rPr>
              <w:t>chart that Modified Early Warning Score has been </w:t>
            </w:r>
            <w:r>
              <w:rPr>
                <w:spacing w:val="-2"/>
                <w:sz w:val="20"/>
              </w:rPr>
              <w:t>calculated accurately.</w:t>
            </w:r>
          </w:p>
        </w:tc>
        <w:tc>
          <w:tcPr>
            <w:tcW w:w="2700" w:type="dxa"/>
          </w:tcPr>
          <w:p>
            <w:pPr>
              <w:pStyle w:val="TableParagraph"/>
              <w:ind w:left="115" w:right="102"/>
              <w:jc w:val="center"/>
              <w:rPr>
                <w:sz w:val="20"/>
              </w:rPr>
            </w:pPr>
            <w:r>
              <w:rPr>
                <w:sz w:val="20"/>
              </w:rPr>
              <w:t>All patients who have documented by a medical practitioner that they are being</w:t>
            </w:r>
            <w:r>
              <w:rPr>
                <w:spacing w:val="-10"/>
                <w:sz w:val="20"/>
              </w:rPr>
              <w:t> </w:t>
            </w:r>
            <w:r>
              <w:rPr>
                <w:sz w:val="20"/>
              </w:rPr>
              <w:t>cared</w:t>
            </w:r>
            <w:r>
              <w:rPr>
                <w:spacing w:val="-9"/>
                <w:sz w:val="20"/>
              </w:rPr>
              <w:t> </w:t>
            </w:r>
            <w:r>
              <w:rPr>
                <w:sz w:val="20"/>
              </w:rPr>
              <w:t>for</w:t>
            </w:r>
            <w:r>
              <w:rPr>
                <w:spacing w:val="-9"/>
                <w:sz w:val="20"/>
              </w:rPr>
              <w:t> </w:t>
            </w:r>
            <w:r>
              <w:rPr>
                <w:sz w:val="20"/>
              </w:rPr>
              <w:t>on</w:t>
            </w:r>
            <w:r>
              <w:rPr>
                <w:spacing w:val="-9"/>
                <w:sz w:val="20"/>
              </w:rPr>
              <w:t> </w:t>
            </w:r>
            <w:r>
              <w:rPr>
                <w:sz w:val="20"/>
              </w:rPr>
              <w:t>the</w:t>
            </w:r>
            <w:r>
              <w:rPr>
                <w:spacing w:val="-9"/>
                <w:sz w:val="20"/>
              </w:rPr>
              <w:t> </w:t>
            </w:r>
            <w:r>
              <w:rPr>
                <w:sz w:val="20"/>
              </w:rPr>
              <w:t>care of the dying pathway</w:t>
            </w:r>
          </w:p>
        </w:tc>
        <w:tc>
          <w:tcPr>
            <w:tcW w:w="1259" w:type="dxa"/>
          </w:tcPr>
          <w:p>
            <w:pPr>
              <w:pStyle w:val="TableParagraph"/>
              <w:spacing w:line="227" w:lineRule="exact"/>
              <w:ind w:left="21" w:right="10"/>
              <w:jc w:val="center"/>
              <w:rPr>
                <w:sz w:val="20"/>
              </w:rPr>
            </w:pPr>
            <w:r>
              <w:rPr>
                <w:spacing w:val="-4"/>
                <w:sz w:val="20"/>
              </w:rPr>
              <w:t>100%</w:t>
            </w:r>
          </w:p>
        </w:tc>
      </w:tr>
    </w:tbl>
    <w:p>
      <w:pPr>
        <w:pStyle w:val="TableParagraph"/>
        <w:spacing w:after="0" w:line="227" w:lineRule="exact"/>
        <w:jc w:val="center"/>
        <w:rPr>
          <w:sz w:val="20"/>
        </w:rPr>
        <w:sectPr>
          <w:pgSz w:w="11910" w:h="16840"/>
          <w:pgMar w:header="0" w:footer="955" w:top="680" w:bottom="1140" w:left="425" w:right="566"/>
        </w:sectPr>
      </w:pPr>
    </w:p>
    <w:p>
      <w:pPr>
        <w:spacing w:before="77"/>
        <w:ind w:left="1015" w:right="0" w:firstLine="0"/>
        <w:jc w:val="left"/>
        <w:rPr>
          <w:rFonts w:ascii="Arial" w:hAnsi="Arial"/>
          <w:b/>
          <w:sz w:val="22"/>
        </w:rPr>
      </w:pPr>
      <w:r>
        <w:rPr>
          <w:rFonts w:ascii="Arial" w:hAnsi="Arial"/>
          <w:b/>
          <w:sz w:val="22"/>
        </w:rPr>
        <w:t>Appendix</w:t>
      </w:r>
      <w:r>
        <w:rPr>
          <w:rFonts w:ascii="Arial" w:hAnsi="Arial"/>
          <w:b/>
          <w:spacing w:val="-3"/>
          <w:sz w:val="22"/>
        </w:rPr>
        <w:t> </w:t>
      </w:r>
      <w:r>
        <w:rPr>
          <w:rFonts w:ascii="Arial" w:hAnsi="Arial"/>
          <w:b/>
          <w:sz w:val="22"/>
        </w:rPr>
        <w:t>D</w:t>
      </w:r>
      <w:r>
        <w:rPr>
          <w:rFonts w:ascii="Arial" w:hAnsi="Arial"/>
          <w:b/>
          <w:spacing w:val="-4"/>
          <w:sz w:val="22"/>
        </w:rPr>
        <w:t> </w:t>
      </w:r>
      <w:r>
        <w:rPr>
          <w:rFonts w:ascii="Arial" w:hAnsi="Arial"/>
          <w:b/>
          <w:sz w:val="22"/>
        </w:rPr>
        <w:t>–</w:t>
      </w:r>
      <w:r>
        <w:rPr>
          <w:rFonts w:ascii="Arial" w:hAnsi="Arial"/>
          <w:b/>
          <w:spacing w:val="-1"/>
          <w:sz w:val="22"/>
        </w:rPr>
        <w:t> </w:t>
      </w:r>
      <w:r>
        <w:rPr>
          <w:rFonts w:ascii="Arial" w:hAnsi="Arial"/>
          <w:b/>
          <w:sz w:val="22"/>
        </w:rPr>
        <w:t>Audit</w:t>
      </w:r>
      <w:r>
        <w:rPr>
          <w:rFonts w:ascii="Arial" w:hAnsi="Arial"/>
          <w:b/>
          <w:spacing w:val="-2"/>
          <w:sz w:val="22"/>
        </w:rPr>
        <w:t> </w:t>
      </w:r>
      <w:r>
        <w:rPr>
          <w:rFonts w:ascii="Arial" w:hAnsi="Arial"/>
          <w:b/>
          <w:sz w:val="22"/>
        </w:rPr>
        <w:t>Tool</w:t>
      </w:r>
      <w:r>
        <w:rPr>
          <w:rFonts w:ascii="Arial" w:hAnsi="Arial"/>
          <w:b/>
          <w:spacing w:val="-3"/>
          <w:sz w:val="22"/>
        </w:rPr>
        <w:t> </w:t>
      </w:r>
      <w:r>
        <w:rPr>
          <w:rFonts w:ascii="Arial" w:hAnsi="Arial"/>
          <w:b/>
          <w:sz w:val="22"/>
        </w:rPr>
        <w:t>and</w:t>
      </w:r>
      <w:r>
        <w:rPr>
          <w:rFonts w:ascii="Arial" w:hAnsi="Arial"/>
          <w:b/>
          <w:spacing w:val="-5"/>
          <w:sz w:val="22"/>
        </w:rPr>
        <w:t> </w:t>
      </w:r>
      <w:r>
        <w:rPr>
          <w:rFonts w:ascii="Arial" w:hAnsi="Arial"/>
          <w:b/>
          <w:spacing w:val="-2"/>
          <w:sz w:val="22"/>
        </w:rPr>
        <w:t>Criteria</w:t>
      </w:r>
    </w:p>
    <w:p>
      <w:pPr>
        <w:pStyle w:val="BodyText"/>
        <w:spacing w:before="6"/>
        <w:rPr>
          <w:rFonts w:ascii="Arial"/>
          <w:b/>
          <w:sz w:val="16"/>
        </w:rPr>
      </w:pPr>
      <w:r>
        <w:rPr>
          <w:rFonts w:ascii="Arial"/>
          <w:b/>
          <w:sz w:val="16"/>
        </w:rPr>
        <w:drawing>
          <wp:anchor distT="0" distB="0" distL="0" distR="0" allowOverlap="1" layoutInCell="1" locked="0" behindDoc="1" simplePos="0" relativeHeight="487592448">
            <wp:simplePos x="0" y="0"/>
            <wp:positionH relativeFrom="page">
              <wp:posOffset>1001101</wp:posOffset>
            </wp:positionH>
            <wp:positionV relativeFrom="paragraph">
              <wp:posOffset>136060</wp:posOffset>
            </wp:positionV>
            <wp:extent cx="5574052" cy="3476720"/>
            <wp:effectExtent l="0" t="0" r="0" b="0"/>
            <wp:wrapTopAndBottom/>
            <wp:docPr id="104" name="Image 104"/>
            <wp:cNvGraphicFramePr>
              <a:graphicFrameLocks/>
            </wp:cNvGraphicFramePr>
            <a:graphic>
              <a:graphicData uri="http://schemas.openxmlformats.org/drawingml/2006/picture">
                <pic:pic>
                  <pic:nvPicPr>
                    <pic:cNvPr id="104" name="Image 104"/>
                    <pic:cNvPicPr/>
                  </pic:nvPicPr>
                  <pic:blipFill>
                    <a:blip r:embed="rId36" cstate="print"/>
                    <a:stretch>
                      <a:fillRect/>
                    </a:stretch>
                  </pic:blipFill>
                  <pic:spPr>
                    <a:xfrm>
                      <a:off x="0" y="0"/>
                      <a:ext cx="5574052" cy="3476720"/>
                    </a:xfrm>
                    <a:prstGeom prst="rect">
                      <a:avLst/>
                    </a:prstGeom>
                  </pic:spPr>
                </pic:pic>
              </a:graphicData>
            </a:graphic>
          </wp:anchor>
        </w:drawing>
      </w:r>
    </w:p>
    <w:p>
      <w:pPr>
        <w:pStyle w:val="BodyText"/>
        <w:rPr>
          <w:rFonts w:ascii="Arial"/>
          <w:b/>
          <w:sz w:val="20"/>
        </w:rPr>
      </w:pPr>
    </w:p>
    <w:p>
      <w:pPr>
        <w:pStyle w:val="BodyText"/>
        <w:rPr>
          <w:rFonts w:ascii="Arial"/>
          <w:b/>
          <w:sz w:val="20"/>
        </w:rPr>
      </w:pPr>
    </w:p>
    <w:p>
      <w:pPr>
        <w:pStyle w:val="BodyText"/>
        <w:spacing w:before="212"/>
        <w:rPr>
          <w:rFonts w:ascii="Arial"/>
          <w:b/>
          <w:sz w:val="20"/>
        </w:rPr>
      </w:pPr>
      <w:r>
        <w:rPr>
          <w:rFonts w:ascii="Arial"/>
          <w:b/>
          <w:sz w:val="20"/>
        </w:rPr>
        <w:drawing>
          <wp:anchor distT="0" distB="0" distL="0" distR="0" allowOverlap="1" layoutInCell="1" locked="0" behindDoc="1" simplePos="0" relativeHeight="487592960">
            <wp:simplePos x="0" y="0"/>
            <wp:positionH relativeFrom="page">
              <wp:posOffset>1066398</wp:posOffset>
            </wp:positionH>
            <wp:positionV relativeFrom="paragraph">
              <wp:posOffset>296053</wp:posOffset>
            </wp:positionV>
            <wp:extent cx="6015030" cy="3762470"/>
            <wp:effectExtent l="0" t="0" r="0" b="0"/>
            <wp:wrapTopAndBottom/>
            <wp:docPr id="105" name="Image 105"/>
            <wp:cNvGraphicFramePr>
              <a:graphicFrameLocks/>
            </wp:cNvGraphicFramePr>
            <a:graphic>
              <a:graphicData uri="http://schemas.openxmlformats.org/drawingml/2006/picture">
                <pic:pic>
                  <pic:nvPicPr>
                    <pic:cNvPr id="105" name="Image 105"/>
                    <pic:cNvPicPr/>
                  </pic:nvPicPr>
                  <pic:blipFill>
                    <a:blip r:embed="rId37" cstate="print"/>
                    <a:stretch>
                      <a:fillRect/>
                    </a:stretch>
                  </pic:blipFill>
                  <pic:spPr>
                    <a:xfrm>
                      <a:off x="0" y="0"/>
                      <a:ext cx="6015030" cy="3762470"/>
                    </a:xfrm>
                    <a:prstGeom prst="rect">
                      <a:avLst/>
                    </a:prstGeom>
                  </pic:spPr>
                </pic:pic>
              </a:graphicData>
            </a:graphic>
          </wp:anchor>
        </w:drawing>
      </w:r>
    </w:p>
    <w:p>
      <w:pPr>
        <w:pStyle w:val="BodyText"/>
        <w:spacing w:after="0"/>
        <w:rPr>
          <w:rFonts w:ascii="Arial"/>
          <w:b/>
          <w:sz w:val="20"/>
        </w:rPr>
        <w:sectPr>
          <w:pgSz w:w="11910" w:h="16840"/>
          <w:pgMar w:header="0" w:footer="955" w:top="620" w:bottom="1140" w:left="425" w:right="566"/>
        </w:sectPr>
      </w:pPr>
    </w:p>
    <w:p>
      <w:pPr>
        <w:spacing w:before="77"/>
        <w:ind w:left="1015" w:right="0" w:firstLine="0"/>
        <w:jc w:val="both"/>
        <w:rPr>
          <w:rFonts w:ascii="Arial"/>
          <w:b/>
          <w:sz w:val="22"/>
        </w:rPr>
      </w:pPr>
      <w:r>
        <w:rPr>
          <w:rFonts w:ascii="Arial"/>
          <w:b/>
          <w:sz w:val="22"/>
        </w:rPr>
        <w:t>Appendix</w:t>
      </w:r>
      <w:r>
        <w:rPr>
          <w:rFonts w:ascii="Arial"/>
          <w:b/>
          <w:spacing w:val="-4"/>
          <w:sz w:val="22"/>
        </w:rPr>
        <w:t> </w:t>
      </w:r>
      <w:r>
        <w:rPr>
          <w:rFonts w:ascii="Arial"/>
          <w:b/>
          <w:sz w:val="22"/>
        </w:rPr>
        <w:t>E</w:t>
      </w:r>
      <w:r>
        <w:rPr>
          <w:rFonts w:ascii="Arial"/>
          <w:b/>
          <w:spacing w:val="-4"/>
          <w:sz w:val="22"/>
        </w:rPr>
        <w:t> </w:t>
      </w:r>
      <w:r>
        <w:rPr>
          <w:rFonts w:ascii="Arial"/>
          <w:b/>
          <w:sz w:val="22"/>
        </w:rPr>
        <w:t>-</w:t>
      </w:r>
      <w:r>
        <w:rPr>
          <w:rFonts w:ascii="Arial"/>
          <w:b/>
          <w:spacing w:val="-3"/>
          <w:sz w:val="22"/>
        </w:rPr>
        <w:t> </w:t>
      </w:r>
      <w:r>
        <w:rPr>
          <w:rFonts w:ascii="Arial"/>
          <w:b/>
          <w:sz w:val="22"/>
        </w:rPr>
        <w:t>Equality</w:t>
      </w:r>
      <w:r>
        <w:rPr>
          <w:rFonts w:ascii="Arial"/>
          <w:b/>
          <w:spacing w:val="-8"/>
          <w:sz w:val="22"/>
        </w:rPr>
        <w:t> </w:t>
      </w:r>
      <w:r>
        <w:rPr>
          <w:rFonts w:ascii="Arial"/>
          <w:b/>
          <w:sz w:val="22"/>
        </w:rPr>
        <w:t>Impact</w:t>
      </w:r>
      <w:r>
        <w:rPr>
          <w:rFonts w:ascii="Arial"/>
          <w:b/>
          <w:spacing w:val="-3"/>
          <w:sz w:val="22"/>
        </w:rPr>
        <w:t> </w:t>
      </w:r>
      <w:r>
        <w:rPr>
          <w:rFonts w:ascii="Arial"/>
          <w:b/>
          <w:sz w:val="22"/>
        </w:rPr>
        <w:t>Assessment</w:t>
      </w:r>
      <w:r>
        <w:rPr>
          <w:rFonts w:ascii="Arial"/>
          <w:b/>
          <w:spacing w:val="-3"/>
          <w:sz w:val="22"/>
        </w:rPr>
        <w:t> </w:t>
      </w:r>
      <w:r>
        <w:rPr>
          <w:rFonts w:ascii="Arial"/>
          <w:b/>
          <w:spacing w:val="-4"/>
          <w:sz w:val="22"/>
        </w:rPr>
        <w:t>Tool</w:t>
      </w:r>
    </w:p>
    <w:p>
      <w:pPr>
        <w:spacing w:before="200"/>
        <w:ind w:left="1015" w:right="872" w:firstLine="0"/>
        <w:jc w:val="both"/>
        <w:rPr>
          <w:sz w:val="22"/>
        </w:rPr>
      </w:pPr>
      <w:r>
        <w:rPr>
          <w:sz w:val="22"/>
        </w:rPr>
        <w:t>To be completed and attached to any procedural document when submitted to the appropriate committee for consideration and approval.</w:t>
      </w:r>
    </w:p>
    <w:p>
      <w:pPr>
        <w:pStyle w:val="BodyText"/>
        <w:spacing w:before="7"/>
        <w:rPr>
          <w:sz w:val="17"/>
        </w:rPr>
      </w:pPr>
    </w:p>
    <w:tbl>
      <w:tblPr>
        <w:tblW w:w="0" w:type="auto"/>
        <w:jc w:val="left"/>
        <w:tblInd w:w="10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0" w:type="dxa"/>
          <w:left w:w="0" w:type="dxa"/>
          <w:bottom w:w="0" w:type="dxa"/>
          <w:right w:w="0" w:type="dxa"/>
        </w:tblCellMar>
        <w:tblLook w:val="01E0"/>
      </w:tblPr>
      <w:tblGrid>
        <w:gridCol w:w="540"/>
        <w:gridCol w:w="4412"/>
        <w:gridCol w:w="1169"/>
        <w:gridCol w:w="2977"/>
      </w:tblGrid>
      <w:tr>
        <w:trPr>
          <w:trHeight w:val="390" w:hRule="atLeast"/>
        </w:trPr>
        <w:tc>
          <w:tcPr>
            <w:tcW w:w="540" w:type="dxa"/>
            <w:shd w:val="clear" w:color="auto" w:fill="C0C0C0"/>
          </w:tcPr>
          <w:p>
            <w:pPr>
              <w:pStyle w:val="TableParagraph"/>
              <w:rPr>
                <w:rFonts w:ascii="Times New Roman"/>
                <w:sz w:val="20"/>
              </w:rPr>
            </w:pPr>
          </w:p>
        </w:tc>
        <w:tc>
          <w:tcPr>
            <w:tcW w:w="4412" w:type="dxa"/>
            <w:shd w:val="clear" w:color="auto" w:fill="C0C0C0"/>
          </w:tcPr>
          <w:p>
            <w:pPr>
              <w:pStyle w:val="TableParagraph"/>
              <w:rPr>
                <w:rFonts w:ascii="Times New Roman"/>
                <w:sz w:val="20"/>
              </w:rPr>
            </w:pPr>
          </w:p>
        </w:tc>
        <w:tc>
          <w:tcPr>
            <w:tcW w:w="1169" w:type="dxa"/>
            <w:shd w:val="clear" w:color="auto" w:fill="C0C0C0"/>
          </w:tcPr>
          <w:p>
            <w:pPr>
              <w:pStyle w:val="TableParagraph"/>
              <w:spacing w:before="78"/>
              <w:ind w:left="2" w:right="1"/>
              <w:jc w:val="center"/>
              <w:rPr>
                <w:rFonts w:ascii="Arial"/>
                <w:b/>
                <w:sz w:val="20"/>
              </w:rPr>
            </w:pPr>
            <w:r>
              <w:rPr>
                <w:rFonts w:ascii="Arial"/>
                <w:b/>
                <w:spacing w:val="-2"/>
                <w:sz w:val="20"/>
              </w:rPr>
              <w:t>Yes/No</w:t>
            </w:r>
          </w:p>
        </w:tc>
        <w:tc>
          <w:tcPr>
            <w:tcW w:w="2977" w:type="dxa"/>
            <w:shd w:val="clear" w:color="auto" w:fill="C0C0C0"/>
          </w:tcPr>
          <w:p>
            <w:pPr>
              <w:pStyle w:val="TableParagraph"/>
              <w:spacing w:before="78"/>
              <w:ind w:left="969"/>
              <w:rPr>
                <w:rFonts w:ascii="Arial"/>
                <w:b/>
                <w:sz w:val="20"/>
              </w:rPr>
            </w:pPr>
            <w:r>
              <w:rPr>
                <w:rFonts w:ascii="Arial"/>
                <w:b/>
                <w:spacing w:val="-2"/>
                <w:sz w:val="20"/>
              </w:rPr>
              <w:t>Comments</w:t>
            </w:r>
          </w:p>
        </w:tc>
      </w:tr>
      <w:tr>
        <w:trPr>
          <w:trHeight w:val="849" w:hRule="atLeast"/>
        </w:trPr>
        <w:tc>
          <w:tcPr>
            <w:tcW w:w="540" w:type="dxa"/>
          </w:tcPr>
          <w:p>
            <w:pPr>
              <w:pStyle w:val="TableParagraph"/>
              <w:spacing w:before="76"/>
              <w:ind w:left="107"/>
              <w:rPr>
                <w:rFonts w:ascii="Arial"/>
                <w:b/>
                <w:sz w:val="20"/>
              </w:rPr>
            </w:pPr>
            <w:r>
              <w:rPr>
                <w:rFonts w:ascii="Arial"/>
                <w:b/>
                <w:spacing w:val="-5"/>
                <w:sz w:val="20"/>
              </w:rPr>
              <w:t>1.</w:t>
            </w:r>
          </w:p>
        </w:tc>
        <w:tc>
          <w:tcPr>
            <w:tcW w:w="4412" w:type="dxa"/>
          </w:tcPr>
          <w:p>
            <w:pPr>
              <w:pStyle w:val="TableParagraph"/>
              <w:spacing w:before="76"/>
              <w:ind w:left="107"/>
              <w:rPr>
                <w:rFonts w:ascii="Arial"/>
                <w:b/>
                <w:sz w:val="20"/>
              </w:rPr>
            </w:pPr>
            <w:r>
              <w:rPr>
                <w:rFonts w:ascii="Arial"/>
                <w:b/>
                <w:sz w:val="20"/>
              </w:rPr>
              <w:t>Does the policy/guidance affect one group less</w:t>
            </w:r>
            <w:r>
              <w:rPr>
                <w:rFonts w:ascii="Arial"/>
                <w:b/>
                <w:spacing w:val="-6"/>
                <w:sz w:val="20"/>
              </w:rPr>
              <w:t> </w:t>
            </w:r>
            <w:r>
              <w:rPr>
                <w:rFonts w:ascii="Arial"/>
                <w:b/>
                <w:sz w:val="20"/>
              </w:rPr>
              <w:t>or</w:t>
            </w:r>
            <w:r>
              <w:rPr>
                <w:rFonts w:ascii="Arial"/>
                <w:b/>
                <w:spacing w:val="-7"/>
                <w:sz w:val="20"/>
              </w:rPr>
              <w:t> </w:t>
            </w:r>
            <w:r>
              <w:rPr>
                <w:rFonts w:ascii="Arial"/>
                <w:b/>
                <w:sz w:val="20"/>
              </w:rPr>
              <w:t>more</w:t>
            </w:r>
            <w:r>
              <w:rPr>
                <w:rFonts w:ascii="Arial"/>
                <w:b/>
                <w:spacing w:val="-6"/>
                <w:sz w:val="20"/>
              </w:rPr>
              <w:t> </w:t>
            </w:r>
            <w:r>
              <w:rPr>
                <w:rFonts w:ascii="Arial"/>
                <w:b/>
                <w:sz w:val="20"/>
              </w:rPr>
              <w:t>favourably</w:t>
            </w:r>
            <w:r>
              <w:rPr>
                <w:rFonts w:ascii="Arial"/>
                <w:b/>
                <w:spacing w:val="-8"/>
                <w:sz w:val="20"/>
              </w:rPr>
              <w:t> </w:t>
            </w:r>
            <w:r>
              <w:rPr>
                <w:rFonts w:ascii="Arial"/>
                <w:b/>
                <w:sz w:val="20"/>
              </w:rPr>
              <w:t>than</w:t>
            </w:r>
            <w:r>
              <w:rPr>
                <w:rFonts w:ascii="Arial"/>
                <w:b/>
                <w:spacing w:val="-6"/>
                <w:sz w:val="20"/>
              </w:rPr>
              <w:t> </w:t>
            </w:r>
            <w:r>
              <w:rPr>
                <w:rFonts w:ascii="Arial"/>
                <w:b/>
                <w:sz w:val="20"/>
              </w:rPr>
              <w:t>another</w:t>
            </w:r>
            <w:r>
              <w:rPr>
                <w:rFonts w:ascii="Arial"/>
                <w:b/>
                <w:spacing w:val="-7"/>
                <w:sz w:val="20"/>
              </w:rPr>
              <w:t> </w:t>
            </w:r>
            <w:r>
              <w:rPr>
                <w:rFonts w:ascii="Arial"/>
                <w:b/>
                <w:sz w:val="20"/>
              </w:rPr>
              <w:t>on</w:t>
            </w:r>
            <w:r>
              <w:rPr>
                <w:rFonts w:ascii="Arial"/>
                <w:b/>
                <w:spacing w:val="-5"/>
                <w:sz w:val="20"/>
              </w:rPr>
              <w:t> </w:t>
            </w:r>
            <w:r>
              <w:rPr>
                <w:rFonts w:ascii="Arial"/>
                <w:b/>
                <w:sz w:val="20"/>
              </w:rPr>
              <w:t>the basis of:</w:t>
            </w:r>
          </w:p>
        </w:tc>
        <w:tc>
          <w:tcPr>
            <w:tcW w:w="1169" w:type="dxa"/>
            <w:shd w:val="clear" w:color="auto" w:fill="DFDFDF"/>
          </w:tcPr>
          <w:p>
            <w:pPr>
              <w:pStyle w:val="TableParagraph"/>
              <w:rPr>
                <w:rFonts w:ascii="Times New Roman"/>
                <w:sz w:val="20"/>
              </w:rPr>
            </w:pPr>
          </w:p>
        </w:tc>
        <w:tc>
          <w:tcPr>
            <w:tcW w:w="2977" w:type="dxa"/>
            <w:shd w:val="clear" w:color="auto" w:fill="DFDFDF"/>
          </w:tcPr>
          <w:p>
            <w:pPr>
              <w:pStyle w:val="TableParagraph"/>
              <w:rPr>
                <w:rFonts w:ascii="Times New Roman"/>
                <w:sz w:val="20"/>
              </w:rPr>
            </w:pPr>
          </w:p>
        </w:tc>
      </w:tr>
      <w:tr>
        <w:trPr>
          <w:trHeight w:val="405" w:hRule="atLeast"/>
        </w:trPr>
        <w:tc>
          <w:tcPr>
            <w:tcW w:w="540" w:type="dxa"/>
          </w:tcPr>
          <w:p>
            <w:pPr>
              <w:pStyle w:val="TableParagraph"/>
              <w:rPr>
                <w:rFonts w:ascii="Times New Roman"/>
                <w:sz w:val="20"/>
              </w:rPr>
            </w:pPr>
          </w:p>
        </w:tc>
        <w:tc>
          <w:tcPr>
            <w:tcW w:w="4412" w:type="dxa"/>
          </w:tcPr>
          <w:p>
            <w:pPr>
              <w:pStyle w:val="TableParagraph"/>
              <w:spacing w:before="84"/>
              <w:ind w:left="107"/>
              <w:rPr>
                <w:sz w:val="20"/>
              </w:rPr>
            </w:pPr>
            <w:r>
              <w:rPr>
                <w:position w:val="-4"/>
              </w:rPr>
              <w:drawing>
                <wp:inline distT="0" distB="0" distL="0" distR="0">
                  <wp:extent cx="115824" cy="155448"/>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Race</w:t>
            </w:r>
          </w:p>
        </w:tc>
        <w:tc>
          <w:tcPr>
            <w:tcW w:w="1169" w:type="dxa"/>
          </w:tcPr>
          <w:p>
            <w:pPr>
              <w:pStyle w:val="TableParagraph"/>
              <w:spacing w:before="81"/>
              <w:ind w:left="2"/>
              <w:jc w:val="center"/>
              <w:rPr>
                <w:sz w:val="20"/>
              </w:rPr>
            </w:pPr>
            <w:r>
              <w:rPr>
                <w:spacing w:val="-5"/>
                <w:sz w:val="20"/>
              </w:rPr>
              <w:t>No</w:t>
            </w:r>
          </w:p>
        </w:tc>
        <w:tc>
          <w:tcPr>
            <w:tcW w:w="2977" w:type="dxa"/>
          </w:tcPr>
          <w:p>
            <w:pPr>
              <w:pStyle w:val="TableParagraph"/>
              <w:rPr>
                <w:rFonts w:ascii="Times New Roman"/>
                <w:sz w:val="20"/>
              </w:rPr>
            </w:pPr>
          </w:p>
        </w:tc>
      </w:tr>
      <w:tr>
        <w:trPr>
          <w:trHeight w:val="633" w:hRule="atLeast"/>
        </w:trPr>
        <w:tc>
          <w:tcPr>
            <w:tcW w:w="540" w:type="dxa"/>
          </w:tcPr>
          <w:p>
            <w:pPr>
              <w:pStyle w:val="TableParagraph"/>
              <w:rPr>
                <w:rFonts w:ascii="Times New Roman"/>
                <w:sz w:val="20"/>
              </w:rPr>
            </w:pPr>
          </w:p>
        </w:tc>
        <w:tc>
          <w:tcPr>
            <w:tcW w:w="4412" w:type="dxa"/>
          </w:tcPr>
          <w:p>
            <w:pPr>
              <w:pStyle w:val="TableParagraph"/>
              <w:tabs>
                <w:tab w:pos="1172" w:val="left" w:leader="none"/>
                <w:tab w:pos="1982" w:val="left" w:leader="none"/>
                <w:tab w:pos="3063" w:val="left" w:leader="none"/>
                <w:tab w:pos="3962" w:val="left" w:leader="none"/>
              </w:tabs>
              <w:spacing w:before="79"/>
              <w:ind w:left="395" w:right="103" w:hanging="288"/>
              <w:rPr>
                <w:sz w:val="20"/>
              </w:rPr>
            </w:pPr>
            <w:r>
              <w:rPr>
                <w:position w:val="-4"/>
              </w:rPr>
              <w:drawing>
                <wp:inline distT="0" distB="0" distL="0" distR="0">
                  <wp:extent cx="115824" cy="155448"/>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Ethnic</w:t>
              <w:tab/>
            </w:r>
            <w:r>
              <w:rPr>
                <w:spacing w:val="-2"/>
                <w:sz w:val="20"/>
              </w:rPr>
              <w:t>origins</w:t>
            </w:r>
            <w:r>
              <w:rPr>
                <w:sz w:val="20"/>
              </w:rPr>
              <w:tab/>
            </w:r>
            <w:r>
              <w:rPr>
                <w:spacing w:val="-2"/>
                <w:sz w:val="20"/>
              </w:rPr>
              <w:t>(including</w:t>
            </w:r>
            <w:r>
              <w:rPr>
                <w:sz w:val="20"/>
              </w:rPr>
              <w:tab/>
            </w:r>
            <w:r>
              <w:rPr>
                <w:spacing w:val="-2"/>
                <w:sz w:val="20"/>
              </w:rPr>
              <w:t>gypsies</w:t>
            </w:r>
            <w:r>
              <w:rPr>
                <w:sz w:val="20"/>
              </w:rPr>
              <w:tab/>
            </w:r>
            <w:r>
              <w:rPr>
                <w:spacing w:val="-4"/>
                <w:sz w:val="20"/>
              </w:rPr>
              <w:t>and </w:t>
            </w:r>
            <w:r>
              <w:rPr>
                <w:spacing w:val="-2"/>
                <w:sz w:val="20"/>
              </w:rPr>
              <w:t>travellers)</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402" w:hRule="atLeast"/>
        </w:trPr>
        <w:tc>
          <w:tcPr>
            <w:tcW w:w="540" w:type="dxa"/>
          </w:tcPr>
          <w:p>
            <w:pPr>
              <w:pStyle w:val="TableParagraph"/>
              <w:rPr>
                <w:rFonts w:ascii="Times New Roman"/>
                <w:sz w:val="20"/>
              </w:rPr>
            </w:pPr>
          </w:p>
        </w:tc>
        <w:tc>
          <w:tcPr>
            <w:tcW w:w="4412" w:type="dxa"/>
          </w:tcPr>
          <w:p>
            <w:pPr>
              <w:pStyle w:val="TableParagraph"/>
              <w:spacing w:before="81"/>
              <w:ind w:left="107"/>
              <w:rPr>
                <w:sz w:val="20"/>
              </w:rPr>
            </w:pPr>
            <w:r>
              <w:rPr>
                <w:position w:val="-4"/>
              </w:rPr>
              <w:drawing>
                <wp:inline distT="0" distB="0" distL="0" distR="0">
                  <wp:extent cx="115824" cy="155448"/>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Nationality</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403" w:hRule="atLeast"/>
        </w:trPr>
        <w:tc>
          <w:tcPr>
            <w:tcW w:w="540" w:type="dxa"/>
          </w:tcPr>
          <w:p>
            <w:pPr>
              <w:pStyle w:val="TableParagraph"/>
              <w:rPr>
                <w:rFonts w:ascii="Times New Roman"/>
                <w:sz w:val="20"/>
              </w:rPr>
            </w:pPr>
          </w:p>
        </w:tc>
        <w:tc>
          <w:tcPr>
            <w:tcW w:w="4412" w:type="dxa"/>
          </w:tcPr>
          <w:p>
            <w:pPr>
              <w:pStyle w:val="TableParagraph"/>
              <w:spacing w:before="81"/>
              <w:ind w:left="107"/>
              <w:rPr>
                <w:sz w:val="20"/>
              </w:rPr>
            </w:pPr>
            <w:r>
              <w:rPr>
                <w:position w:val="-4"/>
              </w:rPr>
              <w:drawing>
                <wp:inline distT="0" distB="0" distL="0" distR="0">
                  <wp:extent cx="115824" cy="155448"/>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Gender</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405" w:hRule="atLeast"/>
        </w:trPr>
        <w:tc>
          <w:tcPr>
            <w:tcW w:w="540" w:type="dxa"/>
          </w:tcPr>
          <w:p>
            <w:pPr>
              <w:pStyle w:val="TableParagraph"/>
              <w:rPr>
                <w:rFonts w:ascii="Times New Roman"/>
                <w:sz w:val="20"/>
              </w:rPr>
            </w:pPr>
          </w:p>
        </w:tc>
        <w:tc>
          <w:tcPr>
            <w:tcW w:w="4412" w:type="dxa"/>
          </w:tcPr>
          <w:p>
            <w:pPr>
              <w:pStyle w:val="TableParagraph"/>
              <w:spacing w:before="84"/>
              <w:ind w:left="107"/>
              <w:rPr>
                <w:sz w:val="20"/>
              </w:rPr>
            </w:pPr>
            <w:r>
              <w:rPr>
                <w:position w:val="-4"/>
              </w:rPr>
              <w:drawing>
                <wp:inline distT="0" distB="0" distL="0" distR="0">
                  <wp:extent cx="115824" cy="155448"/>
                  <wp:effectExtent l="0" t="0" r="0" b="0"/>
                  <wp:docPr id="110" name="Image 110"/>
                  <wp:cNvGraphicFramePr>
                    <a:graphicFrameLocks/>
                  </wp:cNvGraphicFramePr>
                  <a:graphic>
                    <a:graphicData uri="http://schemas.openxmlformats.org/drawingml/2006/picture">
                      <pic:pic>
                        <pic:nvPicPr>
                          <pic:cNvPr id="110" name="Image 110"/>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Culture</w:t>
            </w:r>
          </w:p>
        </w:tc>
        <w:tc>
          <w:tcPr>
            <w:tcW w:w="1169" w:type="dxa"/>
          </w:tcPr>
          <w:p>
            <w:pPr>
              <w:pStyle w:val="TableParagraph"/>
              <w:spacing w:before="81"/>
              <w:ind w:left="2"/>
              <w:jc w:val="center"/>
              <w:rPr>
                <w:sz w:val="20"/>
              </w:rPr>
            </w:pPr>
            <w:r>
              <w:rPr>
                <w:spacing w:val="-5"/>
                <w:sz w:val="20"/>
              </w:rPr>
              <w:t>No</w:t>
            </w:r>
          </w:p>
        </w:tc>
        <w:tc>
          <w:tcPr>
            <w:tcW w:w="2977" w:type="dxa"/>
          </w:tcPr>
          <w:p>
            <w:pPr>
              <w:pStyle w:val="TableParagraph"/>
              <w:rPr>
                <w:rFonts w:ascii="Times New Roman"/>
                <w:sz w:val="20"/>
              </w:rPr>
            </w:pPr>
          </w:p>
        </w:tc>
      </w:tr>
      <w:tr>
        <w:trPr>
          <w:trHeight w:val="402" w:hRule="atLeast"/>
        </w:trPr>
        <w:tc>
          <w:tcPr>
            <w:tcW w:w="540" w:type="dxa"/>
          </w:tcPr>
          <w:p>
            <w:pPr>
              <w:pStyle w:val="TableParagraph"/>
              <w:rPr>
                <w:rFonts w:ascii="Times New Roman"/>
                <w:sz w:val="20"/>
              </w:rPr>
            </w:pPr>
          </w:p>
        </w:tc>
        <w:tc>
          <w:tcPr>
            <w:tcW w:w="4412" w:type="dxa"/>
          </w:tcPr>
          <w:p>
            <w:pPr>
              <w:pStyle w:val="TableParagraph"/>
              <w:spacing w:before="81"/>
              <w:ind w:left="107"/>
              <w:rPr>
                <w:sz w:val="20"/>
              </w:rPr>
            </w:pPr>
            <w:r>
              <w:rPr>
                <w:position w:val="-4"/>
              </w:rPr>
              <w:drawing>
                <wp:inline distT="0" distB="0" distL="0" distR="0">
                  <wp:extent cx="115824" cy="155448"/>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Religion or belief</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633" w:hRule="atLeast"/>
        </w:trPr>
        <w:tc>
          <w:tcPr>
            <w:tcW w:w="540" w:type="dxa"/>
          </w:tcPr>
          <w:p>
            <w:pPr>
              <w:pStyle w:val="TableParagraph"/>
              <w:rPr>
                <w:rFonts w:ascii="Times New Roman"/>
                <w:sz w:val="20"/>
              </w:rPr>
            </w:pPr>
          </w:p>
        </w:tc>
        <w:tc>
          <w:tcPr>
            <w:tcW w:w="4412" w:type="dxa"/>
          </w:tcPr>
          <w:p>
            <w:pPr>
              <w:pStyle w:val="TableParagraph"/>
              <w:spacing w:before="79"/>
              <w:ind w:left="395" w:hanging="288"/>
              <w:rPr>
                <w:sz w:val="20"/>
              </w:rPr>
            </w:pPr>
            <w:r>
              <w:rPr>
                <w:position w:val="-4"/>
              </w:rPr>
              <w:drawing>
                <wp:inline distT="0" distB="0" distL="0" distR="0">
                  <wp:extent cx="115824" cy="155448"/>
                  <wp:effectExtent l="0" t="0" r="0" b="0"/>
                  <wp:docPr id="112" name="Image 112"/>
                  <wp:cNvGraphicFramePr>
                    <a:graphicFrameLocks/>
                  </wp:cNvGraphicFramePr>
                  <a:graphic>
                    <a:graphicData uri="http://schemas.openxmlformats.org/drawingml/2006/picture">
                      <pic:pic>
                        <pic:nvPicPr>
                          <pic:cNvPr id="112" name="Image 112"/>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Sexual</w:t>
            </w:r>
            <w:r>
              <w:rPr>
                <w:spacing w:val="40"/>
                <w:sz w:val="20"/>
              </w:rPr>
              <w:t> </w:t>
            </w:r>
            <w:r>
              <w:rPr>
                <w:sz w:val="20"/>
              </w:rPr>
              <w:t>orientation</w:t>
            </w:r>
            <w:r>
              <w:rPr>
                <w:spacing w:val="40"/>
                <w:sz w:val="20"/>
              </w:rPr>
              <w:t> </w:t>
            </w:r>
            <w:r>
              <w:rPr>
                <w:sz w:val="20"/>
              </w:rPr>
              <w:t>including</w:t>
            </w:r>
            <w:r>
              <w:rPr>
                <w:spacing w:val="40"/>
                <w:sz w:val="20"/>
              </w:rPr>
              <w:t> </w:t>
            </w:r>
            <w:r>
              <w:rPr>
                <w:sz w:val="20"/>
              </w:rPr>
              <w:t>lesbian,</w:t>
            </w:r>
            <w:r>
              <w:rPr>
                <w:spacing w:val="40"/>
                <w:sz w:val="20"/>
              </w:rPr>
              <w:t> </w:t>
            </w:r>
            <w:r>
              <w:rPr>
                <w:sz w:val="20"/>
              </w:rPr>
              <w:t>gay and bisexual people</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402" w:hRule="atLeast"/>
        </w:trPr>
        <w:tc>
          <w:tcPr>
            <w:tcW w:w="540" w:type="dxa"/>
          </w:tcPr>
          <w:p>
            <w:pPr>
              <w:pStyle w:val="TableParagraph"/>
              <w:rPr>
                <w:rFonts w:ascii="Times New Roman"/>
                <w:sz w:val="20"/>
              </w:rPr>
            </w:pPr>
          </w:p>
        </w:tc>
        <w:tc>
          <w:tcPr>
            <w:tcW w:w="4412" w:type="dxa"/>
          </w:tcPr>
          <w:p>
            <w:pPr>
              <w:pStyle w:val="TableParagraph"/>
              <w:spacing w:before="81"/>
              <w:ind w:left="107"/>
              <w:rPr>
                <w:sz w:val="20"/>
              </w:rPr>
            </w:pPr>
            <w:r>
              <w:rPr>
                <w:position w:val="-4"/>
              </w:rPr>
              <w:drawing>
                <wp:inline distT="0" distB="0" distL="0" distR="0">
                  <wp:extent cx="115824" cy="155448"/>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8" cstate="print"/>
                          <a:stretch>
                            <a:fillRect/>
                          </a:stretch>
                        </pic:blipFill>
                        <pic:spPr>
                          <a:xfrm>
                            <a:off x="0" y="0"/>
                            <a:ext cx="115824" cy="155448"/>
                          </a:xfrm>
                          <a:prstGeom prst="rect">
                            <a:avLst/>
                          </a:prstGeom>
                        </pic:spPr>
                      </pic:pic>
                    </a:graphicData>
                  </a:graphic>
                </wp:inline>
              </w:drawing>
            </w:r>
            <w:r>
              <w:rPr>
                <w:position w:val="-4"/>
              </w:rPr>
            </w:r>
            <w:r>
              <w:rPr>
                <w:rFonts w:ascii="Times New Roman"/>
                <w:spacing w:val="40"/>
                <w:sz w:val="20"/>
              </w:rPr>
              <w:t> </w:t>
            </w:r>
            <w:r>
              <w:rPr>
                <w:sz w:val="20"/>
              </w:rPr>
              <w:t>Age</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580" w:hRule="atLeast"/>
        </w:trPr>
        <w:tc>
          <w:tcPr>
            <w:tcW w:w="540" w:type="dxa"/>
          </w:tcPr>
          <w:p>
            <w:pPr>
              <w:pStyle w:val="TableParagraph"/>
              <w:spacing w:before="54"/>
              <w:ind w:left="107"/>
              <w:rPr>
                <w:rFonts w:ascii="Arial"/>
                <w:b/>
                <w:sz w:val="20"/>
              </w:rPr>
            </w:pPr>
            <w:r>
              <w:rPr>
                <w:rFonts w:ascii="Arial"/>
                <w:b/>
                <w:spacing w:val="-5"/>
                <w:sz w:val="20"/>
              </w:rPr>
              <w:t>2.</w:t>
            </w:r>
          </w:p>
        </w:tc>
        <w:tc>
          <w:tcPr>
            <w:tcW w:w="4412" w:type="dxa"/>
          </w:tcPr>
          <w:p>
            <w:pPr>
              <w:pStyle w:val="TableParagraph"/>
              <w:spacing w:before="54"/>
              <w:ind w:left="107"/>
              <w:rPr>
                <w:rFonts w:ascii="Arial"/>
                <w:b/>
                <w:sz w:val="20"/>
              </w:rPr>
            </w:pPr>
            <w:r>
              <w:rPr>
                <w:rFonts w:ascii="Arial"/>
                <w:b/>
                <w:sz w:val="20"/>
              </w:rPr>
              <w:t>Is</w:t>
            </w:r>
            <w:r>
              <w:rPr>
                <w:rFonts w:ascii="Arial"/>
                <w:b/>
                <w:spacing w:val="-7"/>
                <w:sz w:val="20"/>
              </w:rPr>
              <w:t> </w:t>
            </w:r>
            <w:r>
              <w:rPr>
                <w:rFonts w:ascii="Arial"/>
                <w:b/>
                <w:sz w:val="20"/>
              </w:rPr>
              <w:t>there</w:t>
            </w:r>
            <w:r>
              <w:rPr>
                <w:rFonts w:ascii="Arial"/>
                <w:b/>
                <w:spacing w:val="-6"/>
                <w:sz w:val="20"/>
              </w:rPr>
              <w:t> </w:t>
            </w:r>
            <w:r>
              <w:rPr>
                <w:rFonts w:ascii="Arial"/>
                <w:b/>
                <w:sz w:val="20"/>
              </w:rPr>
              <w:t>any</w:t>
            </w:r>
            <w:r>
              <w:rPr>
                <w:rFonts w:ascii="Arial"/>
                <w:b/>
                <w:spacing w:val="-7"/>
                <w:sz w:val="20"/>
              </w:rPr>
              <w:t> </w:t>
            </w:r>
            <w:r>
              <w:rPr>
                <w:rFonts w:ascii="Arial"/>
                <w:b/>
                <w:sz w:val="20"/>
              </w:rPr>
              <w:t>evidence</w:t>
            </w:r>
            <w:r>
              <w:rPr>
                <w:rFonts w:ascii="Arial"/>
                <w:b/>
                <w:spacing w:val="-7"/>
                <w:sz w:val="20"/>
              </w:rPr>
              <w:t> </w:t>
            </w:r>
            <w:r>
              <w:rPr>
                <w:rFonts w:ascii="Arial"/>
                <w:b/>
                <w:sz w:val="20"/>
              </w:rPr>
              <w:t>that</w:t>
            </w:r>
            <w:r>
              <w:rPr>
                <w:rFonts w:ascii="Arial"/>
                <w:b/>
                <w:spacing w:val="-5"/>
                <w:sz w:val="20"/>
              </w:rPr>
              <w:t> </w:t>
            </w:r>
            <w:r>
              <w:rPr>
                <w:rFonts w:ascii="Arial"/>
                <w:b/>
                <w:sz w:val="20"/>
              </w:rPr>
              <w:t>some</w:t>
            </w:r>
            <w:r>
              <w:rPr>
                <w:rFonts w:ascii="Arial"/>
                <w:b/>
                <w:spacing w:val="-7"/>
                <w:sz w:val="20"/>
              </w:rPr>
              <w:t> </w:t>
            </w:r>
            <w:r>
              <w:rPr>
                <w:rFonts w:ascii="Arial"/>
                <w:b/>
                <w:sz w:val="20"/>
              </w:rPr>
              <w:t>groups</w:t>
            </w:r>
            <w:r>
              <w:rPr>
                <w:rFonts w:ascii="Arial"/>
                <w:b/>
                <w:spacing w:val="-6"/>
                <w:sz w:val="20"/>
              </w:rPr>
              <w:t> </w:t>
            </w:r>
            <w:r>
              <w:rPr>
                <w:rFonts w:ascii="Arial"/>
                <w:b/>
                <w:sz w:val="20"/>
              </w:rPr>
              <w:t>are affected differently?</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811" w:hRule="atLeast"/>
        </w:trPr>
        <w:tc>
          <w:tcPr>
            <w:tcW w:w="540" w:type="dxa"/>
          </w:tcPr>
          <w:p>
            <w:pPr>
              <w:pStyle w:val="TableParagraph"/>
              <w:spacing w:before="54"/>
              <w:ind w:left="107"/>
              <w:rPr>
                <w:rFonts w:ascii="Arial"/>
                <w:b/>
                <w:sz w:val="20"/>
              </w:rPr>
            </w:pPr>
            <w:r>
              <w:rPr>
                <w:rFonts w:ascii="Arial"/>
                <w:b/>
                <w:spacing w:val="-5"/>
                <w:sz w:val="20"/>
              </w:rPr>
              <w:t>3.</w:t>
            </w:r>
          </w:p>
        </w:tc>
        <w:tc>
          <w:tcPr>
            <w:tcW w:w="4412" w:type="dxa"/>
          </w:tcPr>
          <w:p>
            <w:pPr>
              <w:pStyle w:val="TableParagraph"/>
              <w:spacing w:before="54"/>
              <w:ind w:left="107" w:right="161"/>
              <w:rPr>
                <w:rFonts w:ascii="Arial"/>
                <w:b/>
                <w:sz w:val="20"/>
              </w:rPr>
            </w:pPr>
            <w:r>
              <w:rPr>
                <w:rFonts w:ascii="Arial"/>
                <w:b/>
                <w:sz w:val="20"/>
              </w:rPr>
              <w:t>If you have identified potential discrimination,</w:t>
            </w:r>
            <w:r>
              <w:rPr>
                <w:rFonts w:ascii="Arial"/>
                <w:b/>
                <w:spacing w:val="-11"/>
                <w:sz w:val="20"/>
              </w:rPr>
              <w:t> </w:t>
            </w:r>
            <w:r>
              <w:rPr>
                <w:rFonts w:ascii="Arial"/>
                <w:b/>
                <w:sz w:val="20"/>
              </w:rPr>
              <w:t>are</w:t>
            </w:r>
            <w:r>
              <w:rPr>
                <w:rFonts w:ascii="Arial"/>
                <w:b/>
                <w:spacing w:val="-10"/>
                <w:sz w:val="20"/>
              </w:rPr>
              <w:t> </w:t>
            </w:r>
            <w:r>
              <w:rPr>
                <w:rFonts w:ascii="Arial"/>
                <w:b/>
                <w:sz w:val="20"/>
              </w:rPr>
              <w:t>any</w:t>
            </w:r>
            <w:r>
              <w:rPr>
                <w:rFonts w:ascii="Arial"/>
                <w:b/>
                <w:spacing w:val="-13"/>
                <w:sz w:val="20"/>
              </w:rPr>
              <w:t> </w:t>
            </w:r>
            <w:r>
              <w:rPr>
                <w:rFonts w:ascii="Arial"/>
                <w:b/>
                <w:sz w:val="20"/>
              </w:rPr>
              <w:t>exceptions</w:t>
            </w:r>
            <w:r>
              <w:rPr>
                <w:rFonts w:ascii="Arial"/>
                <w:b/>
                <w:spacing w:val="-11"/>
                <w:sz w:val="20"/>
              </w:rPr>
              <w:t> </w:t>
            </w:r>
            <w:r>
              <w:rPr>
                <w:rFonts w:ascii="Arial"/>
                <w:b/>
                <w:sz w:val="20"/>
              </w:rPr>
              <w:t>valid, legal and/or justifiable?</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580" w:hRule="atLeast"/>
        </w:trPr>
        <w:tc>
          <w:tcPr>
            <w:tcW w:w="540" w:type="dxa"/>
          </w:tcPr>
          <w:p>
            <w:pPr>
              <w:pStyle w:val="TableParagraph"/>
              <w:spacing w:before="54"/>
              <w:ind w:left="107"/>
              <w:rPr>
                <w:rFonts w:ascii="Arial"/>
                <w:b/>
                <w:sz w:val="20"/>
              </w:rPr>
            </w:pPr>
            <w:r>
              <w:rPr>
                <w:rFonts w:ascii="Arial"/>
                <w:b/>
                <w:spacing w:val="-5"/>
                <w:sz w:val="20"/>
              </w:rPr>
              <w:t>4.</w:t>
            </w:r>
          </w:p>
        </w:tc>
        <w:tc>
          <w:tcPr>
            <w:tcW w:w="4412" w:type="dxa"/>
          </w:tcPr>
          <w:p>
            <w:pPr>
              <w:pStyle w:val="TableParagraph"/>
              <w:spacing w:before="54"/>
              <w:ind w:left="107"/>
              <w:rPr>
                <w:rFonts w:ascii="Arial"/>
                <w:b/>
                <w:sz w:val="20"/>
              </w:rPr>
            </w:pPr>
            <w:r>
              <w:rPr>
                <w:rFonts w:ascii="Arial"/>
                <w:b/>
                <w:sz w:val="20"/>
              </w:rPr>
              <w:t>Is</w:t>
            </w:r>
            <w:r>
              <w:rPr>
                <w:rFonts w:ascii="Arial"/>
                <w:b/>
                <w:spacing w:val="-7"/>
                <w:sz w:val="20"/>
              </w:rPr>
              <w:t> </w:t>
            </w:r>
            <w:r>
              <w:rPr>
                <w:rFonts w:ascii="Arial"/>
                <w:b/>
                <w:sz w:val="20"/>
              </w:rPr>
              <w:t>the</w:t>
            </w:r>
            <w:r>
              <w:rPr>
                <w:rFonts w:ascii="Arial"/>
                <w:b/>
                <w:spacing w:val="-7"/>
                <w:sz w:val="20"/>
              </w:rPr>
              <w:t> </w:t>
            </w:r>
            <w:r>
              <w:rPr>
                <w:rFonts w:ascii="Arial"/>
                <w:b/>
                <w:sz w:val="20"/>
              </w:rPr>
              <w:t>impact</w:t>
            </w:r>
            <w:r>
              <w:rPr>
                <w:rFonts w:ascii="Arial"/>
                <w:b/>
                <w:spacing w:val="-7"/>
                <w:sz w:val="20"/>
              </w:rPr>
              <w:t> </w:t>
            </w:r>
            <w:r>
              <w:rPr>
                <w:rFonts w:ascii="Arial"/>
                <w:b/>
                <w:sz w:val="20"/>
              </w:rPr>
              <w:t>of</w:t>
            </w:r>
            <w:r>
              <w:rPr>
                <w:rFonts w:ascii="Arial"/>
                <w:b/>
                <w:spacing w:val="-6"/>
                <w:sz w:val="20"/>
              </w:rPr>
              <w:t> </w:t>
            </w:r>
            <w:r>
              <w:rPr>
                <w:rFonts w:ascii="Arial"/>
                <w:b/>
                <w:sz w:val="20"/>
              </w:rPr>
              <w:t>the</w:t>
            </w:r>
            <w:r>
              <w:rPr>
                <w:rFonts w:ascii="Arial"/>
                <w:b/>
                <w:spacing w:val="-7"/>
                <w:sz w:val="20"/>
              </w:rPr>
              <w:t> </w:t>
            </w:r>
            <w:r>
              <w:rPr>
                <w:rFonts w:ascii="Arial"/>
                <w:b/>
                <w:sz w:val="20"/>
              </w:rPr>
              <w:t>policy/guidance</w:t>
            </w:r>
            <w:r>
              <w:rPr>
                <w:rFonts w:ascii="Arial"/>
                <w:b/>
                <w:spacing w:val="-7"/>
                <w:sz w:val="20"/>
              </w:rPr>
              <w:t> </w:t>
            </w:r>
            <w:r>
              <w:rPr>
                <w:rFonts w:ascii="Arial"/>
                <w:b/>
                <w:sz w:val="20"/>
              </w:rPr>
              <w:t>likely</w:t>
            </w:r>
            <w:r>
              <w:rPr>
                <w:rFonts w:ascii="Arial"/>
                <w:b/>
                <w:spacing w:val="-7"/>
                <w:sz w:val="20"/>
              </w:rPr>
              <w:t> </w:t>
            </w:r>
            <w:r>
              <w:rPr>
                <w:rFonts w:ascii="Arial"/>
                <w:b/>
                <w:sz w:val="20"/>
              </w:rPr>
              <w:t>to be negative?</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388" w:hRule="atLeast"/>
        </w:trPr>
        <w:tc>
          <w:tcPr>
            <w:tcW w:w="540" w:type="dxa"/>
          </w:tcPr>
          <w:p>
            <w:pPr>
              <w:pStyle w:val="TableParagraph"/>
              <w:spacing w:before="54"/>
              <w:ind w:left="107"/>
              <w:rPr>
                <w:rFonts w:ascii="Arial"/>
                <w:b/>
                <w:sz w:val="20"/>
              </w:rPr>
            </w:pPr>
            <w:r>
              <w:rPr>
                <w:rFonts w:ascii="Arial"/>
                <w:b/>
                <w:spacing w:val="-5"/>
                <w:sz w:val="20"/>
              </w:rPr>
              <w:t>5.</w:t>
            </w:r>
          </w:p>
        </w:tc>
        <w:tc>
          <w:tcPr>
            <w:tcW w:w="4412" w:type="dxa"/>
          </w:tcPr>
          <w:p>
            <w:pPr>
              <w:pStyle w:val="TableParagraph"/>
              <w:spacing w:before="54"/>
              <w:ind w:left="107"/>
              <w:rPr>
                <w:rFonts w:ascii="Arial"/>
                <w:b/>
                <w:sz w:val="20"/>
              </w:rPr>
            </w:pPr>
            <w:r>
              <w:rPr>
                <w:rFonts w:ascii="Arial"/>
                <w:b/>
                <w:sz w:val="20"/>
              </w:rPr>
              <w:t>If</w:t>
            </w:r>
            <w:r>
              <w:rPr>
                <w:rFonts w:ascii="Arial"/>
                <w:b/>
                <w:spacing w:val="-4"/>
                <w:sz w:val="20"/>
              </w:rPr>
              <w:t> </w:t>
            </w:r>
            <w:r>
              <w:rPr>
                <w:rFonts w:ascii="Arial"/>
                <w:b/>
                <w:sz w:val="20"/>
              </w:rPr>
              <w:t>so</w:t>
            </w:r>
            <w:r>
              <w:rPr>
                <w:rFonts w:ascii="Arial"/>
                <w:b/>
                <w:spacing w:val="-4"/>
                <w:sz w:val="20"/>
              </w:rPr>
              <w:t> </w:t>
            </w:r>
            <w:r>
              <w:rPr>
                <w:rFonts w:ascii="Arial"/>
                <w:b/>
                <w:sz w:val="20"/>
              </w:rPr>
              <w:t>can</w:t>
            </w:r>
            <w:r>
              <w:rPr>
                <w:rFonts w:ascii="Arial"/>
                <w:b/>
                <w:spacing w:val="-4"/>
                <w:sz w:val="20"/>
              </w:rPr>
              <w:t> </w:t>
            </w:r>
            <w:r>
              <w:rPr>
                <w:rFonts w:ascii="Arial"/>
                <w:b/>
                <w:sz w:val="20"/>
              </w:rPr>
              <w:t>the</w:t>
            </w:r>
            <w:r>
              <w:rPr>
                <w:rFonts w:ascii="Arial"/>
                <w:b/>
                <w:spacing w:val="-2"/>
                <w:sz w:val="20"/>
              </w:rPr>
              <w:t> </w:t>
            </w:r>
            <w:r>
              <w:rPr>
                <w:rFonts w:ascii="Arial"/>
                <w:b/>
                <w:sz w:val="20"/>
              </w:rPr>
              <w:t>impact</w:t>
            </w:r>
            <w:r>
              <w:rPr>
                <w:rFonts w:ascii="Arial"/>
                <w:b/>
                <w:spacing w:val="-4"/>
                <w:sz w:val="20"/>
              </w:rPr>
              <w:t> </w:t>
            </w:r>
            <w:r>
              <w:rPr>
                <w:rFonts w:ascii="Arial"/>
                <w:b/>
                <w:sz w:val="20"/>
              </w:rPr>
              <w:t>be</w:t>
            </w:r>
            <w:r>
              <w:rPr>
                <w:rFonts w:ascii="Arial"/>
                <w:b/>
                <w:spacing w:val="-1"/>
                <w:sz w:val="20"/>
              </w:rPr>
              <w:t> </w:t>
            </w:r>
            <w:r>
              <w:rPr>
                <w:rFonts w:ascii="Arial"/>
                <w:b/>
                <w:spacing w:val="-2"/>
                <w:sz w:val="20"/>
              </w:rPr>
              <w:t>avoided?</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580" w:hRule="atLeast"/>
        </w:trPr>
        <w:tc>
          <w:tcPr>
            <w:tcW w:w="540" w:type="dxa"/>
          </w:tcPr>
          <w:p>
            <w:pPr>
              <w:pStyle w:val="TableParagraph"/>
              <w:spacing w:before="54"/>
              <w:ind w:left="107"/>
              <w:rPr>
                <w:rFonts w:ascii="Arial"/>
                <w:b/>
                <w:sz w:val="20"/>
              </w:rPr>
            </w:pPr>
            <w:r>
              <w:rPr>
                <w:rFonts w:ascii="Arial"/>
                <w:b/>
                <w:spacing w:val="-5"/>
                <w:sz w:val="20"/>
              </w:rPr>
              <w:t>6.</w:t>
            </w:r>
          </w:p>
        </w:tc>
        <w:tc>
          <w:tcPr>
            <w:tcW w:w="4412" w:type="dxa"/>
          </w:tcPr>
          <w:p>
            <w:pPr>
              <w:pStyle w:val="TableParagraph"/>
              <w:spacing w:before="54"/>
              <w:ind w:left="107"/>
              <w:rPr>
                <w:rFonts w:ascii="Arial"/>
                <w:b/>
                <w:sz w:val="20"/>
              </w:rPr>
            </w:pPr>
            <w:r>
              <w:rPr>
                <w:rFonts w:ascii="Arial"/>
                <w:b/>
                <w:sz w:val="20"/>
              </w:rPr>
              <w:t>What</w:t>
            </w:r>
            <w:r>
              <w:rPr>
                <w:rFonts w:ascii="Arial"/>
                <w:b/>
                <w:spacing w:val="-8"/>
                <w:sz w:val="20"/>
              </w:rPr>
              <w:t> </w:t>
            </w:r>
            <w:r>
              <w:rPr>
                <w:rFonts w:ascii="Arial"/>
                <w:b/>
                <w:sz w:val="20"/>
              </w:rPr>
              <w:t>alternatives</w:t>
            </w:r>
            <w:r>
              <w:rPr>
                <w:rFonts w:ascii="Arial"/>
                <w:b/>
                <w:spacing w:val="-7"/>
                <w:sz w:val="20"/>
              </w:rPr>
              <w:t> </w:t>
            </w:r>
            <w:r>
              <w:rPr>
                <w:rFonts w:ascii="Arial"/>
                <w:b/>
                <w:sz w:val="20"/>
              </w:rPr>
              <w:t>are</w:t>
            </w:r>
            <w:r>
              <w:rPr>
                <w:rFonts w:ascii="Arial"/>
                <w:b/>
                <w:spacing w:val="-7"/>
                <w:sz w:val="20"/>
              </w:rPr>
              <w:t> </w:t>
            </w:r>
            <w:r>
              <w:rPr>
                <w:rFonts w:ascii="Arial"/>
                <w:b/>
                <w:sz w:val="20"/>
              </w:rPr>
              <w:t>there</w:t>
            </w:r>
            <w:r>
              <w:rPr>
                <w:rFonts w:ascii="Arial"/>
                <w:b/>
                <w:spacing w:val="-8"/>
                <w:sz w:val="20"/>
              </w:rPr>
              <w:t> </w:t>
            </w:r>
            <w:r>
              <w:rPr>
                <w:rFonts w:ascii="Arial"/>
                <w:b/>
                <w:sz w:val="20"/>
              </w:rPr>
              <w:t>to</w:t>
            </w:r>
            <w:r>
              <w:rPr>
                <w:rFonts w:ascii="Arial"/>
                <w:b/>
                <w:spacing w:val="-7"/>
                <w:sz w:val="20"/>
              </w:rPr>
              <w:t> </w:t>
            </w:r>
            <w:r>
              <w:rPr>
                <w:rFonts w:ascii="Arial"/>
                <w:b/>
                <w:sz w:val="20"/>
              </w:rPr>
              <w:t>achieving</w:t>
            </w:r>
            <w:r>
              <w:rPr>
                <w:rFonts w:ascii="Arial"/>
                <w:b/>
                <w:spacing w:val="-7"/>
                <w:sz w:val="20"/>
              </w:rPr>
              <w:t> </w:t>
            </w:r>
            <w:r>
              <w:rPr>
                <w:rFonts w:ascii="Arial"/>
                <w:b/>
                <w:sz w:val="20"/>
              </w:rPr>
              <w:t>the policy/guidance without the impact?</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r>
        <w:trPr>
          <w:trHeight w:val="580" w:hRule="atLeast"/>
        </w:trPr>
        <w:tc>
          <w:tcPr>
            <w:tcW w:w="540" w:type="dxa"/>
          </w:tcPr>
          <w:p>
            <w:pPr>
              <w:pStyle w:val="TableParagraph"/>
              <w:spacing w:before="54"/>
              <w:ind w:left="107"/>
              <w:rPr>
                <w:rFonts w:ascii="Arial"/>
                <w:b/>
                <w:sz w:val="20"/>
              </w:rPr>
            </w:pPr>
            <w:r>
              <w:rPr>
                <w:rFonts w:ascii="Arial"/>
                <w:b/>
                <w:spacing w:val="-5"/>
                <w:sz w:val="20"/>
              </w:rPr>
              <w:t>7.</w:t>
            </w:r>
          </w:p>
        </w:tc>
        <w:tc>
          <w:tcPr>
            <w:tcW w:w="4412" w:type="dxa"/>
          </w:tcPr>
          <w:p>
            <w:pPr>
              <w:pStyle w:val="TableParagraph"/>
              <w:spacing w:before="54"/>
              <w:ind w:left="107" w:right="161"/>
              <w:rPr>
                <w:rFonts w:ascii="Arial"/>
                <w:b/>
                <w:sz w:val="20"/>
              </w:rPr>
            </w:pPr>
            <w:r>
              <w:rPr>
                <w:rFonts w:ascii="Arial"/>
                <w:b/>
                <w:sz w:val="20"/>
              </w:rPr>
              <w:t>Can</w:t>
            </w:r>
            <w:r>
              <w:rPr>
                <w:rFonts w:ascii="Arial"/>
                <w:b/>
                <w:spacing w:val="-8"/>
                <w:sz w:val="20"/>
              </w:rPr>
              <w:t> </w:t>
            </w:r>
            <w:r>
              <w:rPr>
                <w:rFonts w:ascii="Arial"/>
                <w:b/>
                <w:sz w:val="20"/>
              </w:rPr>
              <w:t>we</w:t>
            </w:r>
            <w:r>
              <w:rPr>
                <w:rFonts w:ascii="Arial"/>
                <w:b/>
                <w:spacing w:val="-8"/>
                <w:sz w:val="20"/>
              </w:rPr>
              <w:t> </w:t>
            </w:r>
            <w:r>
              <w:rPr>
                <w:rFonts w:ascii="Arial"/>
                <w:b/>
                <w:sz w:val="20"/>
              </w:rPr>
              <w:t>reduce</w:t>
            </w:r>
            <w:r>
              <w:rPr>
                <w:rFonts w:ascii="Arial"/>
                <w:b/>
                <w:spacing w:val="-8"/>
                <w:sz w:val="20"/>
              </w:rPr>
              <w:t> </w:t>
            </w:r>
            <w:r>
              <w:rPr>
                <w:rFonts w:ascii="Arial"/>
                <w:b/>
                <w:sz w:val="20"/>
              </w:rPr>
              <w:t>the</w:t>
            </w:r>
            <w:r>
              <w:rPr>
                <w:rFonts w:ascii="Arial"/>
                <w:b/>
                <w:spacing w:val="-6"/>
                <w:sz w:val="20"/>
              </w:rPr>
              <w:t> </w:t>
            </w:r>
            <w:r>
              <w:rPr>
                <w:rFonts w:ascii="Arial"/>
                <w:b/>
                <w:sz w:val="20"/>
              </w:rPr>
              <w:t>impact</w:t>
            </w:r>
            <w:r>
              <w:rPr>
                <w:rFonts w:ascii="Arial"/>
                <w:b/>
                <w:spacing w:val="-7"/>
                <w:sz w:val="20"/>
              </w:rPr>
              <w:t> </w:t>
            </w:r>
            <w:r>
              <w:rPr>
                <w:rFonts w:ascii="Arial"/>
                <w:b/>
                <w:sz w:val="20"/>
              </w:rPr>
              <w:t>by</w:t>
            </w:r>
            <w:r>
              <w:rPr>
                <w:rFonts w:ascii="Arial"/>
                <w:b/>
                <w:spacing w:val="-10"/>
                <w:sz w:val="20"/>
              </w:rPr>
              <w:t> </w:t>
            </w:r>
            <w:r>
              <w:rPr>
                <w:rFonts w:ascii="Arial"/>
                <w:b/>
                <w:sz w:val="20"/>
              </w:rPr>
              <w:t>taking different action?</w:t>
            </w:r>
          </w:p>
        </w:tc>
        <w:tc>
          <w:tcPr>
            <w:tcW w:w="1169" w:type="dxa"/>
          </w:tcPr>
          <w:p>
            <w:pPr>
              <w:pStyle w:val="TableParagraph"/>
              <w:spacing w:before="78"/>
              <w:ind w:left="2"/>
              <w:jc w:val="center"/>
              <w:rPr>
                <w:sz w:val="20"/>
              </w:rPr>
            </w:pPr>
            <w:r>
              <w:rPr>
                <w:spacing w:val="-5"/>
                <w:sz w:val="20"/>
              </w:rPr>
              <w:t>No</w:t>
            </w:r>
          </w:p>
        </w:tc>
        <w:tc>
          <w:tcPr>
            <w:tcW w:w="2977" w:type="dxa"/>
          </w:tcPr>
          <w:p>
            <w:pPr>
              <w:pStyle w:val="TableParagraph"/>
              <w:rPr>
                <w:rFonts w:ascii="Times New Roman"/>
                <w:sz w:val="20"/>
              </w:rPr>
            </w:pPr>
          </w:p>
        </w:tc>
      </w:tr>
    </w:tbl>
    <w:p>
      <w:pPr>
        <w:spacing w:before="203"/>
        <w:ind w:left="1015" w:right="870" w:firstLine="0"/>
        <w:jc w:val="both"/>
        <w:rPr>
          <w:sz w:val="22"/>
        </w:rPr>
      </w:pPr>
      <w:r>
        <w:rPr>
          <w:sz w:val="22"/>
        </w:rPr>
        <w:t>If you have identified a potential discriminatory impact of this procedural document, please refer it to [</w:t>
      </w:r>
      <w:r>
        <w:rPr>
          <w:rFonts w:ascii="Arial"/>
          <w:i/>
          <w:sz w:val="22"/>
        </w:rPr>
        <w:t>insert name of appropriate person</w:t>
      </w:r>
      <w:r>
        <w:rPr>
          <w:sz w:val="22"/>
        </w:rPr>
        <w:t>], together with any suggestions as to the action required to avoid/reduce this impact.</w:t>
      </w:r>
    </w:p>
    <w:p>
      <w:pPr>
        <w:spacing w:before="202"/>
        <w:ind w:left="1015" w:right="869" w:firstLine="0"/>
        <w:jc w:val="both"/>
        <w:rPr>
          <w:sz w:val="22"/>
        </w:rPr>
      </w:pPr>
      <w:r>
        <w:rPr>
          <w:sz w:val="22"/>
        </w:rPr>
        <w:t>For advice in respect of answering the above questions, please contact [</w:t>
      </w:r>
      <w:r>
        <w:rPr>
          <w:rFonts w:ascii="Arial"/>
          <w:i/>
          <w:sz w:val="22"/>
        </w:rPr>
        <w:t>insert name of appropriate person and contact details</w:t>
      </w:r>
      <w:r>
        <w:rPr>
          <w:sz w:val="22"/>
        </w:rPr>
        <w:t>].</w:t>
      </w:r>
    </w:p>
    <w:p>
      <w:pPr>
        <w:spacing w:after="0"/>
        <w:jc w:val="both"/>
        <w:rPr>
          <w:sz w:val="22"/>
        </w:rPr>
        <w:sectPr>
          <w:pgSz w:w="11910" w:h="16840"/>
          <w:pgMar w:header="0" w:footer="955" w:top="620" w:bottom="1140" w:left="425" w:right="566"/>
        </w:sectPr>
      </w:pPr>
    </w:p>
    <w:p>
      <w:pPr>
        <w:spacing w:before="77"/>
        <w:ind w:left="1015" w:right="0" w:firstLine="0"/>
        <w:jc w:val="left"/>
        <w:rPr>
          <w:rFonts w:ascii="Arial"/>
          <w:b/>
          <w:sz w:val="22"/>
        </w:rPr>
      </w:pPr>
      <w:r>
        <w:rPr>
          <w:rFonts w:ascii="Arial"/>
          <w:b/>
          <w:sz w:val="22"/>
        </w:rPr>
        <w:t>Appendix</w:t>
      </w:r>
      <w:r>
        <w:rPr>
          <w:rFonts w:ascii="Arial"/>
          <w:b/>
          <w:spacing w:val="-5"/>
          <w:sz w:val="22"/>
        </w:rPr>
        <w:t> </w:t>
      </w:r>
      <w:r>
        <w:rPr>
          <w:rFonts w:ascii="Arial"/>
          <w:b/>
          <w:sz w:val="22"/>
        </w:rPr>
        <w:t>F</w:t>
      </w:r>
      <w:r>
        <w:rPr>
          <w:rFonts w:ascii="Arial"/>
          <w:b/>
          <w:spacing w:val="-3"/>
          <w:sz w:val="22"/>
        </w:rPr>
        <w:t> </w:t>
      </w:r>
      <w:r>
        <w:rPr>
          <w:sz w:val="22"/>
        </w:rPr>
        <w:t>-</w:t>
      </w:r>
      <w:r>
        <w:rPr>
          <w:rFonts w:ascii="Arial"/>
          <w:b/>
          <w:sz w:val="22"/>
        </w:rPr>
        <w:t>Plan</w:t>
      </w:r>
      <w:r>
        <w:rPr>
          <w:rFonts w:ascii="Arial"/>
          <w:b/>
          <w:spacing w:val="-6"/>
          <w:sz w:val="22"/>
        </w:rPr>
        <w:t> </w:t>
      </w:r>
      <w:r>
        <w:rPr>
          <w:rFonts w:ascii="Arial"/>
          <w:b/>
          <w:sz w:val="22"/>
        </w:rPr>
        <w:t>for</w:t>
      </w:r>
      <w:r>
        <w:rPr>
          <w:rFonts w:ascii="Arial"/>
          <w:b/>
          <w:spacing w:val="-3"/>
          <w:sz w:val="22"/>
        </w:rPr>
        <w:t> </w:t>
      </w:r>
      <w:r>
        <w:rPr>
          <w:rFonts w:ascii="Arial"/>
          <w:b/>
          <w:sz w:val="22"/>
        </w:rPr>
        <w:t>Dissemination</w:t>
      </w:r>
      <w:r>
        <w:rPr>
          <w:rFonts w:ascii="Arial"/>
          <w:b/>
          <w:spacing w:val="-6"/>
          <w:sz w:val="22"/>
        </w:rPr>
        <w:t> </w:t>
      </w:r>
      <w:r>
        <w:rPr>
          <w:rFonts w:ascii="Arial"/>
          <w:b/>
          <w:sz w:val="22"/>
        </w:rPr>
        <w:t>of</w:t>
      </w:r>
      <w:r>
        <w:rPr>
          <w:rFonts w:ascii="Arial"/>
          <w:b/>
          <w:spacing w:val="-4"/>
          <w:sz w:val="22"/>
        </w:rPr>
        <w:t> </w:t>
      </w:r>
      <w:r>
        <w:rPr>
          <w:rFonts w:ascii="Arial"/>
          <w:b/>
          <w:sz w:val="22"/>
        </w:rPr>
        <w:t>Policy</w:t>
      </w:r>
      <w:r>
        <w:rPr>
          <w:rFonts w:ascii="Arial"/>
          <w:b/>
          <w:spacing w:val="-6"/>
          <w:sz w:val="22"/>
        </w:rPr>
        <w:t> </w:t>
      </w:r>
      <w:r>
        <w:rPr>
          <w:rFonts w:ascii="Arial"/>
          <w:b/>
          <w:sz w:val="22"/>
        </w:rPr>
        <w:t>or</w:t>
      </w:r>
      <w:r>
        <w:rPr>
          <w:rFonts w:ascii="Arial"/>
          <w:b/>
          <w:spacing w:val="-2"/>
          <w:sz w:val="22"/>
        </w:rPr>
        <w:t> </w:t>
      </w:r>
      <w:r>
        <w:rPr>
          <w:rFonts w:ascii="Arial"/>
          <w:b/>
          <w:sz w:val="22"/>
        </w:rPr>
        <w:t>procedural</w:t>
      </w:r>
      <w:r>
        <w:rPr>
          <w:rFonts w:ascii="Arial"/>
          <w:b/>
          <w:spacing w:val="-4"/>
          <w:sz w:val="22"/>
        </w:rPr>
        <w:t> </w:t>
      </w:r>
      <w:r>
        <w:rPr>
          <w:rFonts w:ascii="Arial"/>
          <w:b/>
          <w:spacing w:val="-2"/>
          <w:sz w:val="22"/>
        </w:rPr>
        <w:t>documents</w:t>
      </w:r>
    </w:p>
    <w:p>
      <w:pPr>
        <w:spacing w:before="200"/>
        <w:ind w:left="1015" w:right="956" w:firstLine="0"/>
        <w:jc w:val="left"/>
        <w:rPr>
          <w:sz w:val="22"/>
        </w:rPr>
      </w:pPr>
      <w:r>
        <w:rPr>
          <w:sz w:val="22"/>
        </w:rPr>
        <w:t>To</w:t>
      </w:r>
      <w:r>
        <w:rPr>
          <w:spacing w:val="26"/>
          <w:sz w:val="22"/>
        </w:rPr>
        <w:t> </w:t>
      </w:r>
      <w:r>
        <w:rPr>
          <w:sz w:val="22"/>
        </w:rPr>
        <w:t>be</w:t>
      </w:r>
      <w:r>
        <w:rPr>
          <w:spacing w:val="25"/>
          <w:sz w:val="22"/>
        </w:rPr>
        <w:t> </w:t>
      </w:r>
      <w:r>
        <w:rPr>
          <w:sz w:val="22"/>
        </w:rPr>
        <w:t>completed and</w:t>
      </w:r>
      <w:r>
        <w:rPr>
          <w:spacing w:val="26"/>
          <w:sz w:val="22"/>
        </w:rPr>
        <w:t> </w:t>
      </w:r>
      <w:r>
        <w:rPr>
          <w:sz w:val="22"/>
        </w:rPr>
        <w:t>attached</w:t>
      </w:r>
      <w:r>
        <w:rPr>
          <w:spacing w:val="25"/>
          <w:sz w:val="22"/>
        </w:rPr>
        <w:t> </w:t>
      </w:r>
      <w:r>
        <w:rPr>
          <w:sz w:val="22"/>
        </w:rPr>
        <w:t>to any document which</w:t>
      </w:r>
      <w:r>
        <w:rPr>
          <w:spacing w:val="26"/>
          <w:sz w:val="22"/>
        </w:rPr>
        <w:t> </w:t>
      </w:r>
      <w:r>
        <w:rPr>
          <w:sz w:val="22"/>
        </w:rPr>
        <w:t>guides</w:t>
      </w:r>
      <w:r>
        <w:rPr>
          <w:spacing w:val="26"/>
          <w:sz w:val="22"/>
        </w:rPr>
        <w:t> </w:t>
      </w:r>
      <w:r>
        <w:rPr>
          <w:sz w:val="22"/>
        </w:rPr>
        <w:t>practice when</w:t>
      </w:r>
      <w:r>
        <w:rPr>
          <w:spacing w:val="26"/>
          <w:sz w:val="22"/>
        </w:rPr>
        <w:t> </w:t>
      </w:r>
      <w:r>
        <w:rPr>
          <w:sz w:val="22"/>
        </w:rPr>
        <w:t>submitted</w:t>
      </w:r>
      <w:r>
        <w:rPr>
          <w:spacing w:val="25"/>
          <w:sz w:val="22"/>
        </w:rPr>
        <w:t> </w:t>
      </w:r>
      <w:r>
        <w:rPr>
          <w:sz w:val="22"/>
        </w:rPr>
        <w:t>to the appropriate committee for consideration and approval.</w:t>
      </w:r>
    </w:p>
    <w:p>
      <w:pPr>
        <w:pStyle w:val="BodyText"/>
        <w:spacing w:before="7"/>
        <w:rPr>
          <w:sz w:val="17"/>
        </w:rPr>
      </w:pPr>
    </w:p>
    <w:tbl>
      <w:tblPr>
        <w:tblW w:w="0" w:type="auto"/>
        <w:jc w:val="left"/>
        <w:tblInd w:w="10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0" w:type="dxa"/>
          <w:left w:w="0" w:type="dxa"/>
          <w:bottom w:w="0" w:type="dxa"/>
          <w:right w:w="0" w:type="dxa"/>
        </w:tblCellMar>
        <w:tblLook w:val="01E0"/>
      </w:tblPr>
      <w:tblGrid>
        <w:gridCol w:w="2172"/>
        <w:gridCol w:w="2062"/>
        <w:gridCol w:w="357"/>
        <w:gridCol w:w="1685"/>
        <w:gridCol w:w="929"/>
        <w:gridCol w:w="1930"/>
      </w:tblGrid>
      <w:tr>
        <w:trPr>
          <w:trHeight w:val="390" w:hRule="atLeast"/>
        </w:trPr>
        <w:tc>
          <w:tcPr>
            <w:tcW w:w="2172" w:type="dxa"/>
          </w:tcPr>
          <w:p>
            <w:pPr>
              <w:pStyle w:val="TableParagraph"/>
              <w:spacing w:before="78"/>
              <w:ind w:left="107"/>
              <w:rPr>
                <w:rFonts w:ascii="Arial"/>
                <w:b/>
                <w:sz w:val="20"/>
              </w:rPr>
            </w:pPr>
            <w:r>
              <w:rPr>
                <w:rFonts w:ascii="Arial"/>
                <w:b/>
                <w:sz w:val="20"/>
              </w:rPr>
              <w:t>Title</w:t>
            </w:r>
            <w:r>
              <w:rPr>
                <w:rFonts w:ascii="Arial"/>
                <w:b/>
                <w:spacing w:val="-3"/>
                <w:sz w:val="20"/>
              </w:rPr>
              <w:t> </w:t>
            </w:r>
            <w:r>
              <w:rPr>
                <w:rFonts w:ascii="Arial"/>
                <w:b/>
                <w:sz w:val="20"/>
              </w:rPr>
              <w:t>of</w:t>
            </w:r>
            <w:r>
              <w:rPr>
                <w:rFonts w:ascii="Arial"/>
                <w:b/>
                <w:spacing w:val="-2"/>
                <w:sz w:val="20"/>
              </w:rPr>
              <w:t> document:</w:t>
            </w:r>
          </w:p>
        </w:tc>
        <w:tc>
          <w:tcPr>
            <w:tcW w:w="6963" w:type="dxa"/>
            <w:gridSpan w:val="5"/>
          </w:tcPr>
          <w:p>
            <w:pPr>
              <w:pStyle w:val="TableParagraph"/>
              <w:spacing w:before="81"/>
              <w:ind w:left="107"/>
              <w:rPr>
                <w:sz w:val="20"/>
              </w:rPr>
            </w:pPr>
            <w:r>
              <w:rPr>
                <w:sz w:val="20"/>
              </w:rPr>
              <w:t>Observation</w:t>
            </w:r>
            <w:r>
              <w:rPr>
                <w:spacing w:val="-14"/>
                <w:sz w:val="20"/>
              </w:rPr>
              <w:t> </w:t>
            </w:r>
            <w:r>
              <w:rPr>
                <w:spacing w:val="-2"/>
                <w:sz w:val="20"/>
              </w:rPr>
              <w:t>Policy</w:t>
            </w:r>
          </w:p>
        </w:tc>
      </w:tr>
      <w:tr>
        <w:trPr>
          <w:trHeight w:val="390" w:hRule="atLeast"/>
        </w:trPr>
        <w:tc>
          <w:tcPr>
            <w:tcW w:w="2172" w:type="dxa"/>
          </w:tcPr>
          <w:p>
            <w:pPr>
              <w:pStyle w:val="TableParagraph"/>
              <w:spacing w:before="76"/>
              <w:ind w:left="107"/>
              <w:rPr>
                <w:rFonts w:ascii="Arial"/>
                <w:b/>
                <w:sz w:val="20"/>
              </w:rPr>
            </w:pPr>
            <w:r>
              <w:rPr>
                <w:rFonts w:ascii="Arial"/>
                <w:b/>
                <w:sz w:val="20"/>
              </w:rPr>
              <w:t>Date</w:t>
            </w:r>
            <w:r>
              <w:rPr>
                <w:rFonts w:ascii="Arial"/>
                <w:b/>
                <w:spacing w:val="-6"/>
                <w:sz w:val="20"/>
              </w:rPr>
              <w:t> </w:t>
            </w:r>
            <w:r>
              <w:rPr>
                <w:rFonts w:ascii="Arial"/>
                <w:b/>
                <w:spacing w:val="-2"/>
                <w:sz w:val="20"/>
              </w:rPr>
              <w:t>finalised:</w:t>
            </w:r>
          </w:p>
        </w:tc>
        <w:tc>
          <w:tcPr>
            <w:tcW w:w="2062" w:type="dxa"/>
          </w:tcPr>
          <w:p>
            <w:pPr>
              <w:pStyle w:val="TableParagraph"/>
              <w:spacing w:before="78"/>
              <w:ind w:left="107"/>
              <w:rPr>
                <w:sz w:val="20"/>
              </w:rPr>
            </w:pPr>
            <w:r>
              <w:rPr>
                <w:sz w:val="20"/>
              </w:rPr>
              <w:t>July</w:t>
            </w:r>
            <w:r>
              <w:rPr>
                <w:spacing w:val="-6"/>
                <w:sz w:val="20"/>
              </w:rPr>
              <w:t> </w:t>
            </w:r>
            <w:r>
              <w:rPr>
                <w:spacing w:val="-4"/>
                <w:sz w:val="20"/>
              </w:rPr>
              <w:t>2012</w:t>
            </w:r>
          </w:p>
        </w:tc>
        <w:tc>
          <w:tcPr>
            <w:tcW w:w="2971" w:type="dxa"/>
            <w:gridSpan w:val="3"/>
            <w:vMerge w:val="restart"/>
          </w:tcPr>
          <w:p>
            <w:pPr>
              <w:pStyle w:val="TableParagraph"/>
              <w:tabs>
                <w:tab w:pos="2394" w:val="left" w:leader="none"/>
              </w:tabs>
              <w:spacing w:before="76"/>
              <w:ind w:left="107" w:right="98"/>
              <w:jc w:val="both"/>
              <w:rPr>
                <w:rFonts w:ascii="Arial"/>
                <w:b/>
                <w:sz w:val="20"/>
              </w:rPr>
            </w:pPr>
            <w:r>
              <w:rPr>
                <w:rFonts w:ascii="Arial"/>
                <w:b/>
                <w:spacing w:val="-2"/>
                <w:sz w:val="20"/>
              </w:rPr>
              <w:t>Dissemination</w:t>
            </w:r>
            <w:r>
              <w:rPr>
                <w:rFonts w:ascii="Arial"/>
                <w:b/>
                <w:sz w:val="20"/>
              </w:rPr>
              <w:tab/>
            </w:r>
            <w:r>
              <w:rPr>
                <w:rFonts w:ascii="Arial"/>
                <w:b/>
                <w:spacing w:val="-2"/>
                <w:sz w:val="20"/>
              </w:rPr>
              <w:t>lead: </w:t>
            </w:r>
            <w:r>
              <w:rPr>
                <w:rFonts w:ascii="Arial"/>
                <w:b/>
                <w:sz w:val="20"/>
              </w:rPr>
              <w:t>Print name and contact </w:t>
            </w:r>
            <w:r>
              <w:rPr>
                <w:rFonts w:ascii="Arial"/>
                <w:b/>
                <w:spacing w:val="-2"/>
                <w:sz w:val="20"/>
              </w:rPr>
              <w:t>details</w:t>
            </w:r>
          </w:p>
        </w:tc>
        <w:tc>
          <w:tcPr>
            <w:tcW w:w="1930" w:type="dxa"/>
            <w:vMerge w:val="restart"/>
          </w:tcPr>
          <w:p>
            <w:pPr>
              <w:pStyle w:val="TableParagraph"/>
              <w:spacing w:line="324" w:lineRule="auto" w:before="78"/>
              <w:ind w:left="108" w:right="422"/>
              <w:rPr>
                <w:sz w:val="20"/>
              </w:rPr>
            </w:pPr>
            <w:r>
              <w:rPr>
                <w:sz w:val="20"/>
              </w:rPr>
              <w:t>Elaine</w:t>
            </w:r>
            <w:r>
              <w:rPr>
                <w:spacing w:val="-14"/>
                <w:sz w:val="20"/>
              </w:rPr>
              <w:t> </w:t>
            </w:r>
            <w:r>
              <w:rPr>
                <w:sz w:val="20"/>
              </w:rPr>
              <w:t>Grainger Lead Nurse Outreach</w:t>
            </w:r>
            <w:r>
              <w:rPr>
                <w:spacing w:val="-14"/>
                <w:sz w:val="20"/>
              </w:rPr>
              <w:t> </w:t>
            </w:r>
            <w:r>
              <w:rPr>
                <w:sz w:val="20"/>
              </w:rPr>
              <w:t>Team</w:t>
            </w:r>
          </w:p>
        </w:tc>
      </w:tr>
      <w:tr>
        <w:trPr>
          <w:trHeight w:val="757" w:hRule="atLeast"/>
        </w:trPr>
        <w:tc>
          <w:tcPr>
            <w:tcW w:w="2172" w:type="dxa"/>
          </w:tcPr>
          <w:p>
            <w:pPr>
              <w:pStyle w:val="TableParagraph"/>
              <w:spacing w:before="76"/>
              <w:ind w:left="107"/>
              <w:rPr>
                <w:rFonts w:ascii="Arial"/>
                <w:b/>
                <w:sz w:val="20"/>
              </w:rPr>
            </w:pPr>
            <w:r>
              <w:rPr>
                <w:rFonts w:ascii="Arial"/>
                <w:b/>
                <w:sz w:val="20"/>
              </w:rPr>
              <w:t>Previous</w:t>
            </w:r>
            <w:r>
              <w:rPr>
                <w:rFonts w:ascii="Arial"/>
                <w:b/>
                <w:spacing w:val="57"/>
                <w:sz w:val="20"/>
              </w:rPr>
              <w:t> </w:t>
            </w:r>
            <w:r>
              <w:rPr>
                <w:rFonts w:ascii="Arial"/>
                <w:b/>
                <w:sz w:val="20"/>
              </w:rPr>
              <w:t>document already</w:t>
            </w:r>
            <w:r>
              <w:rPr>
                <w:rFonts w:ascii="Arial"/>
                <w:b/>
                <w:spacing w:val="-9"/>
                <w:sz w:val="20"/>
              </w:rPr>
              <w:t> </w:t>
            </w:r>
            <w:r>
              <w:rPr>
                <w:rFonts w:ascii="Arial"/>
                <w:b/>
                <w:sz w:val="20"/>
              </w:rPr>
              <w:t>being</w:t>
            </w:r>
            <w:r>
              <w:rPr>
                <w:rFonts w:ascii="Arial"/>
                <w:b/>
                <w:spacing w:val="-6"/>
                <w:sz w:val="20"/>
              </w:rPr>
              <w:t> </w:t>
            </w:r>
            <w:r>
              <w:rPr>
                <w:rFonts w:ascii="Arial"/>
                <w:b/>
                <w:spacing w:val="-4"/>
                <w:sz w:val="20"/>
              </w:rPr>
              <w:t>used?</w:t>
            </w:r>
          </w:p>
        </w:tc>
        <w:tc>
          <w:tcPr>
            <w:tcW w:w="2062" w:type="dxa"/>
          </w:tcPr>
          <w:p>
            <w:pPr>
              <w:pStyle w:val="TableParagraph"/>
              <w:spacing w:line="230" w:lineRule="exact" w:before="76"/>
              <w:ind w:left="25" w:right="16"/>
              <w:jc w:val="center"/>
              <w:rPr>
                <w:rFonts w:ascii="Arial"/>
                <w:b/>
                <w:sz w:val="20"/>
              </w:rPr>
            </w:pPr>
            <w:r>
              <w:rPr>
                <w:rFonts w:ascii="Arial"/>
                <w:b/>
                <w:spacing w:val="-5"/>
                <w:sz w:val="20"/>
              </w:rPr>
              <w:t>No</w:t>
            </w:r>
          </w:p>
          <w:p>
            <w:pPr>
              <w:pStyle w:val="TableParagraph"/>
              <w:ind w:left="23" w:right="16"/>
              <w:jc w:val="center"/>
              <w:rPr>
                <w:sz w:val="16"/>
              </w:rPr>
            </w:pPr>
            <w:r>
              <w:rPr>
                <w:sz w:val="16"/>
              </w:rPr>
              <w:t>(Please</w:t>
            </w:r>
            <w:r>
              <w:rPr>
                <w:spacing w:val="-12"/>
                <w:sz w:val="16"/>
              </w:rPr>
              <w:t> </w:t>
            </w:r>
            <w:r>
              <w:rPr>
                <w:sz w:val="16"/>
              </w:rPr>
              <w:t>delete</w:t>
            </w:r>
            <w:r>
              <w:rPr>
                <w:spacing w:val="-11"/>
                <w:sz w:val="16"/>
              </w:rPr>
              <w:t> </w:t>
            </w:r>
            <w:r>
              <w:rPr>
                <w:sz w:val="16"/>
              </w:rPr>
              <w:t>as </w:t>
            </w:r>
            <w:r>
              <w:rPr>
                <w:spacing w:val="-2"/>
                <w:sz w:val="16"/>
              </w:rPr>
              <w:t>appropriate)</w:t>
            </w:r>
          </w:p>
        </w:tc>
        <w:tc>
          <w:tcPr>
            <w:tcW w:w="2971" w:type="dxa"/>
            <w:gridSpan w:val="3"/>
            <w:vMerge/>
            <w:tcBorders>
              <w:top w:val="nil"/>
            </w:tcBorders>
          </w:tcPr>
          <w:p>
            <w:pPr>
              <w:rPr>
                <w:sz w:val="2"/>
                <w:szCs w:val="2"/>
              </w:rPr>
            </w:pPr>
          </w:p>
        </w:tc>
        <w:tc>
          <w:tcPr>
            <w:tcW w:w="1930" w:type="dxa"/>
            <w:vMerge/>
            <w:tcBorders>
              <w:top w:val="nil"/>
            </w:tcBorders>
          </w:tcPr>
          <w:p>
            <w:pPr>
              <w:rPr>
                <w:sz w:val="2"/>
                <w:szCs w:val="2"/>
              </w:rPr>
            </w:pPr>
          </w:p>
        </w:tc>
      </w:tr>
      <w:tr>
        <w:trPr>
          <w:trHeight w:val="618" w:hRule="atLeast"/>
        </w:trPr>
        <w:tc>
          <w:tcPr>
            <w:tcW w:w="2172" w:type="dxa"/>
          </w:tcPr>
          <w:p>
            <w:pPr>
              <w:pStyle w:val="TableParagraph"/>
              <w:tabs>
                <w:tab w:pos="500" w:val="left" w:leader="none"/>
                <w:tab w:pos="1157" w:val="left" w:leader="none"/>
                <w:tab w:pos="1606" w:val="left" w:leader="none"/>
              </w:tabs>
              <w:spacing w:before="76"/>
              <w:ind w:left="107" w:right="96"/>
              <w:rPr>
                <w:rFonts w:ascii="Arial"/>
                <w:b/>
                <w:sz w:val="20"/>
              </w:rPr>
            </w:pPr>
            <w:r>
              <w:rPr>
                <w:rFonts w:ascii="Arial"/>
                <w:b/>
                <w:spacing w:val="-6"/>
                <w:sz w:val="20"/>
              </w:rPr>
              <w:t>If</w:t>
            </w:r>
            <w:r>
              <w:rPr>
                <w:rFonts w:ascii="Arial"/>
                <w:b/>
                <w:sz w:val="20"/>
              </w:rPr>
              <w:tab/>
            </w:r>
            <w:r>
              <w:rPr>
                <w:rFonts w:ascii="Arial"/>
                <w:b/>
                <w:spacing w:val="-4"/>
                <w:sz w:val="20"/>
              </w:rPr>
              <w:t>yes,</w:t>
            </w:r>
            <w:r>
              <w:rPr>
                <w:rFonts w:ascii="Arial"/>
                <w:b/>
                <w:sz w:val="20"/>
              </w:rPr>
              <w:tab/>
            </w:r>
            <w:r>
              <w:rPr>
                <w:rFonts w:ascii="Arial"/>
                <w:b/>
                <w:spacing w:val="-6"/>
                <w:sz w:val="20"/>
              </w:rPr>
              <w:t>in</w:t>
            </w:r>
            <w:r>
              <w:rPr>
                <w:rFonts w:ascii="Arial"/>
                <w:b/>
                <w:sz w:val="20"/>
              </w:rPr>
              <w:tab/>
            </w:r>
            <w:r>
              <w:rPr>
                <w:rFonts w:ascii="Arial"/>
                <w:b/>
                <w:spacing w:val="-4"/>
                <w:sz w:val="20"/>
              </w:rPr>
              <w:t>what </w:t>
            </w:r>
            <w:r>
              <w:rPr>
                <w:rFonts w:ascii="Arial"/>
                <w:b/>
                <w:sz w:val="20"/>
              </w:rPr>
              <w:t>format and where?</w:t>
            </w:r>
          </w:p>
        </w:tc>
        <w:tc>
          <w:tcPr>
            <w:tcW w:w="6963" w:type="dxa"/>
            <w:gridSpan w:val="5"/>
          </w:tcPr>
          <w:p>
            <w:pPr>
              <w:pStyle w:val="TableParagraph"/>
              <w:rPr>
                <w:rFonts w:ascii="Times New Roman"/>
                <w:sz w:val="20"/>
              </w:rPr>
            </w:pPr>
          </w:p>
        </w:tc>
      </w:tr>
      <w:tr>
        <w:trPr>
          <w:trHeight w:val="1080" w:hRule="atLeast"/>
        </w:trPr>
        <w:tc>
          <w:tcPr>
            <w:tcW w:w="2172" w:type="dxa"/>
          </w:tcPr>
          <w:p>
            <w:pPr>
              <w:pStyle w:val="TableParagraph"/>
              <w:spacing w:before="76"/>
              <w:ind w:left="107" w:right="96"/>
              <w:jc w:val="both"/>
              <w:rPr>
                <w:rFonts w:ascii="Arial"/>
                <w:b/>
                <w:sz w:val="20"/>
              </w:rPr>
            </w:pPr>
            <w:r>
              <w:rPr>
                <w:rFonts w:ascii="Arial"/>
                <w:b/>
                <w:sz w:val="20"/>
              </w:rPr>
              <w:t>Proposed action to retrieve out-of-date copies of </w:t>
            </w:r>
            <w:r>
              <w:rPr>
                <w:rFonts w:ascii="Arial"/>
                <w:b/>
                <w:sz w:val="20"/>
              </w:rPr>
              <w:t>the </w:t>
            </w:r>
            <w:r>
              <w:rPr>
                <w:rFonts w:ascii="Arial"/>
                <w:b/>
                <w:spacing w:val="-2"/>
                <w:sz w:val="20"/>
              </w:rPr>
              <w:t>document:</w:t>
            </w:r>
          </w:p>
        </w:tc>
        <w:tc>
          <w:tcPr>
            <w:tcW w:w="6963" w:type="dxa"/>
            <w:gridSpan w:val="5"/>
          </w:tcPr>
          <w:p>
            <w:pPr>
              <w:pStyle w:val="TableParagraph"/>
              <w:rPr>
                <w:rFonts w:ascii="Times New Roman"/>
                <w:sz w:val="20"/>
              </w:rPr>
            </w:pPr>
          </w:p>
        </w:tc>
      </w:tr>
      <w:tr>
        <w:trPr>
          <w:trHeight w:val="851" w:hRule="atLeast"/>
        </w:trPr>
        <w:tc>
          <w:tcPr>
            <w:tcW w:w="2172" w:type="dxa"/>
          </w:tcPr>
          <w:p>
            <w:pPr>
              <w:pStyle w:val="TableParagraph"/>
              <w:spacing w:before="78"/>
              <w:ind w:left="107"/>
              <w:rPr>
                <w:rFonts w:ascii="Arial"/>
                <w:b/>
                <w:sz w:val="20"/>
              </w:rPr>
            </w:pPr>
            <w:r>
              <w:rPr>
                <w:rFonts w:ascii="Arial"/>
                <w:b/>
                <w:sz w:val="20"/>
              </w:rPr>
              <w:t>To</w:t>
            </w:r>
            <w:r>
              <w:rPr>
                <w:rFonts w:ascii="Arial"/>
                <w:b/>
                <w:spacing w:val="23"/>
                <w:sz w:val="20"/>
              </w:rPr>
              <w:t> </w:t>
            </w:r>
            <w:r>
              <w:rPr>
                <w:rFonts w:ascii="Arial"/>
                <w:b/>
                <w:sz w:val="20"/>
              </w:rPr>
              <w:t>be</w:t>
            </w:r>
            <w:r>
              <w:rPr>
                <w:rFonts w:ascii="Arial"/>
                <w:b/>
                <w:spacing w:val="22"/>
                <w:sz w:val="20"/>
              </w:rPr>
              <w:t> </w:t>
            </w:r>
            <w:r>
              <w:rPr>
                <w:rFonts w:ascii="Arial"/>
                <w:b/>
                <w:sz w:val="20"/>
              </w:rPr>
              <w:t>disseminated </w:t>
            </w:r>
            <w:r>
              <w:rPr>
                <w:rFonts w:ascii="Arial"/>
                <w:b/>
                <w:spacing w:val="-4"/>
                <w:sz w:val="20"/>
              </w:rPr>
              <w:t>to:</w:t>
            </w:r>
          </w:p>
        </w:tc>
        <w:tc>
          <w:tcPr>
            <w:tcW w:w="2419" w:type="dxa"/>
            <w:gridSpan w:val="2"/>
          </w:tcPr>
          <w:p>
            <w:pPr>
              <w:pStyle w:val="TableParagraph"/>
              <w:spacing w:before="78"/>
              <w:ind w:left="107" w:right="95"/>
              <w:jc w:val="both"/>
              <w:rPr>
                <w:rFonts w:ascii="Arial"/>
                <w:b/>
                <w:sz w:val="20"/>
              </w:rPr>
            </w:pPr>
            <w:r>
              <w:rPr>
                <w:rFonts w:ascii="Arial"/>
                <w:b/>
                <w:sz w:val="20"/>
              </w:rPr>
              <w:t>How will it </w:t>
            </w:r>
            <w:r>
              <w:rPr>
                <w:rFonts w:ascii="Arial"/>
                <w:b/>
                <w:sz w:val="20"/>
              </w:rPr>
              <w:t>be disseminated, who</w:t>
            </w:r>
            <w:r>
              <w:rPr>
                <w:rFonts w:ascii="Arial"/>
                <w:b/>
                <w:spacing w:val="-1"/>
                <w:sz w:val="20"/>
              </w:rPr>
              <w:t> </w:t>
            </w:r>
            <w:r>
              <w:rPr>
                <w:rFonts w:ascii="Arial"/>
                <w:b/>
                <w:sz w:val="20"/>
              </w:rPr>
              <w:t>will do it and when?</w:t>
            </w:r>
          </w:p>
        </w:tc>
        <w:tc>
          <w:tcPr>
            <w:tcW w:w="1685" w:type="dxa"/>
          </w:tcPr>
          <w:p>
            <w:pPr>
              <w:pStyle w:val="TableParagraph"/>
              <w:spacing w:before="78"/>
              <w:ind w:left="496" w:right="485"/>
              <w:jc w:val="center"/>
              <w:rPr>
                <w:rFonts w:ascii="Arial"/>
                <w:b/>
                <w:sz w:val="20"/>
              </w:rPr>
            </w:pPr>
            <w:r>
              <w:rPr>
                <w:rFonts w:ascii="Arial"/>
                <w:b/>
                <w:spacing w:val="-2"/>
                <w:sz w:val="20"/>
              </w:rPr>
              <w:t>Paper </w:t>
            </w:r>
            <w:r>
              <w:rPr>
                <w:rFonts w:ascii="Arial"/>
                <w:b/>
                <w:spacing w:val="-6"/>
                <w:sz w:val="20"/>
              </w:rPr>
              <w:t>or</w:t>
            </w:r>
          </w:p>
          <w:p>
            <w:pPr>
              <w:pStyle w:val="TableParagraph"/>
              <w:spacing w:before="1"/>
              <w:ind w:left="6"/>
              <w:jc w:val="center"/>
              <w:rPr>
                <w:rFonts w:ascii="Arial"/>
                <w:b/>
                <w:sz w:val="20"/>
              </w:rPr>
            </w:pPr>
            <w:r>
              <w:rPr>
                <w:rFonts w:ascii="Arial"/>
                <w:b/>
                <w:spacing w:val="-2"/>
                <w:sz w:val="20"/>
              </w:rPr>
              <w:t>Electronic</w:t>
            </w:r>
          </w:p>
        </w:tc>
        <w:tc>
          <w:tcPr>
            <w:tcW w:w="2859" w:type="dxa"/>
            <w:gridSpan w:val="2"/>
          </w:tcPr>
          <w:p>
            <w:pPr>
              <w:pStyle w:val="TableParagraph"/>
              <w:spacing w:before="78"/>
              <w:ind w:left="108"/>
              <w:rPr>
                <w:rFonts w:ascii="Arial"/>
                <w:b/>
                <w:sz w:val="20"/>
              </w:rPr>
            </w:pPr>
            <w:r>
              <w:rPr>
                <w:rFonts w:ascii="Arial"/>
                <w:b/>
                <w:spacing w:val="-2"/>
                <w:sz w:val="20"/>
              </w:rPr>
              <w:t>Comments</w:t>
            </w:r>
          </w:p>
        </w:tc>
      </w:tr>
      <w:tr>
        <w:trPr>
          <w:trHeight w:val="1389" w:hRule="atLeast"/>
        </w:trPr>
        <w:tc>
          <w:tcPr>
            <w:tcW w:w="2172" w:type="dxa"/>
          </w:tcPr>
          <w:p>
            <w:pPr>
              <w:pStyle w:val="TableParagraph"/>
              <w:spacing w:before="78"/>
              <w:ind w:left="107"/>
              <w:rPr>
                <w:sz w:val="20"/>
              </w:rPr>
            </w:pPr>
            <w:r>
              <w:rPr>
                <w:sz w:val="20"/>
              </w:rPr>
              <w:t>Clinical</w:t>
            </w:r>
            <w:r>
              <w:rPr>
                <w:spacing w:val="-11"/>
                <w:sz w:val="20"/>
              </w:rPr>
              <w:t> </w:t>
            </w:r>
            <w:r>
              <w:rPr>
                <w:spacing w:val="-2"/>
                <w:sz w:val="20"/>
              </w:rPr>
              <w:t>Directors</w:t>
            </w:r>
          </w:p>
        </w:tc>
        <w:tc>
          <w:tcPr>
            <w:tcW w:w="2419" w:type="dxa"/>
            <w:gridSpan w:val="2"/>
          </w:tcPr>
          <w:p>
            <w:pPr>
              <w:pStyle w:val="TableParagraph"/>
              <w:spacing w:before="78"/>
              <w:ind w:left="107"/>
              <w:jc w:val="both"/>
              <w:rPr>
                <w:sz w:val="20"/>
              </w:rPr>
            </w:pPr>
            <w:r>
              <w:rPr>
                <w:sz w:val="20"/>
              </w:rPr>
              <w:t>Dr</w:t>
            </w:r>
            <w:r>
              <w:rPr>
                <w:spacing w:val="-3"/>
                <w:sz w:val="20"/>
              </w:rPr>
              <w:t> </w:t>
            </w:r>
            <w:r>
              <w:rPr>
                <w:sz w:val="20"/>
              </w:rPr>
              <w:t>Indy</w:t>
            </w:r>
            <w:r>
              <w:rPr>
                <w:spacing w:val="-5"/>
                <w:sz w:val="20"/>
              </w:rPr>
              <w:t> </w:t>
            </w:r>
            <w:r>
              <w:rPr>
                <w:spacing w:val="-2"/>
                <w:sz w:val="20"/>
              </w:rPr>
              <w:t>Kapila.</w:t>
            </w:r>
          </w:p>
          <w:p>
            <w:pPr>
              <w:pStyle w:val="TableParagraph"/>
              <w:spacing w:line="242" w:lineRule="auto" w:before="78"/>
              <w:ind w:left="107" w:right="98"/>
              <w:jc w:val="both"/>
              <w:rPr>
                <w:sz w:val="20"/>
              </w:rPr>
            </w:pPr>
            <w:r>
              <w:rPr>
                <w:sz w:val="20"/>
              </w:rPr>
              <w:t>Email copies to all Clinical Directors to disseminate to all Medical Teams</w:t>
            </w:r>
          </w:p>
        </w:tc>
        <w:tc>
          <w:tcPr>
            <w:tcW w:w="1685" w:type="dxa"/>
          </w:tcPr>
          <w:p>
            <w:pPr>
              <w:pStyle w:val="TableParagraph"/>
              <w:spacing w:before="78"/>
              <w:ind w:left="108"/>
              <w:rPr>
                <w:sz w:val="20"/>
              </w:rPr>
            </w:pPr>
            <w:r>
              <w:rPr>
                <w:spacing w:val="-2"/>
                <w:sz w:val="20"/>
              </w:rPr>
              <w:t>Electronic</w:t>
            </w:r>
          </w:p>
        </w:tc>
        <w:tc>
          <w:tcPr>
            <w:tcW w:w="2859" w:type="dxa"/>
            <w:gridSpan w:val="2"/>
          </w:tcPr>
          <w:p>
            <w:pPr>
              <w:pStyle w:val="TableParagraph"/>
              <w:tabs>
                <w:tab w:pos="2050" w:val="left" w:leader="none"/>
                <w:tab w:pos="2527" w:val="left" w:leader="none"/>
              </w:tabs>
              <w:spacing w:before="78"/>
              <w:ind w:left="108" w:right="97"/>
              <w:rPr>
                <w:sz w:val="20"/>
              </w:rPr>
            </w:pPr>
            <w:r>
              <w:rPr>
                <w:sz w:val="20"/>
              </w:rPr>
              <w:t>No</w:t>
            </w:r>
            <w:r>
              <w:rPr>
                <w:spacing w:val="80"/>
                <w:sz w:val="20"/>
              </w:rPr>
              <w:t> </w:t>
            </w:r>
            <w:r>
              <w:rPr>
                <w:sz w:val="20"/>
              </w:rPr>
              <w:t>paper</w:t>
            </w:r>
            <w:r>
              <w:rPr>
                <w:spacing w:val="80"/>
                <w:sz w:val="20"/>
              </w:rPr>
              <w:t> </w:t>
            </w:r>
            <w:r>
              <w:rPr>
                <w:sz w:val="20"/>
              </w:rPr>
              <w:t>copies</w:t>
              <w:tab/>
            </w:r>
            <w:r>
              <w:rPr>
                <w:spacing w:val="-4"/>
                <w:sz w:val="20"/>
              </w:rPr>
              <w:t>will</w:t>
            </w:r>
            <w:r>
              <w:rPr>
                <w:sz w:val="20"/>
              </w:rPr>
              <w:tab/>
            </w:r>
            <w:r>
              <w:rPr>
                <w:spacing w:val="-6"/>
                <w:sz w:val="20"/>
              </w:rPr>
              <w:t>be </w:t>
            </w:r>
            <w:r>
              <w:rPr>
                <w:spacing w:val="-2"/>
                <w:sz w:val="20"/>
              </w:rPr>
              <w:t>given.</w:t>
            </w:r>
          </w:p>
        </w:tc>
      </w:tr>
      <w:tr>
        <w:trPr>
          <w:trHeight w:val="1320" w:hRule="atLeast"/>
        </w:trPr>
        <w:tc>
          <w:tcPr>
            <w:tcW w:w="2172" w:type="dxa"/>
          </w:tcPr>
          <w:p>
            <w:pPr>
              <w:pStyle w:val="TableParagraph"/>
              <w:spacing w:before="78"/>
              <w:ind w:left="107"/>
              <w:rPr>
                <w:sz w:val="20"/>
              </w:rPr>
            </w:pPr>
            <w:r>
              <w:rPr>
                <w:sz w:val="20"/>
              </w:rPr>
              <w:t>All</w:t>
            </w:r>
            <w:r>
              <w:rPr>
                <w:spacing w:val="-5"/>
                <w:sz w:val="20"/>
              </w:rPr>
              <w:t> </w:t>
            </w:r>
            <w:r>
              <w:rPr>
                <w:sz w:val="20"/>
              </w:rPr>
              <w:t>Trust</w:t>
            </w:r>
            <w:r>
              <w:rPr>
                <w:spacing w:val="-3"/>
                <w:sz w:val="20"/>
              </w:rPr>
              <w:t> </w:t>
            </w:r>
            <w:r>
              <w:rPr>
                <w:spacing w:val="-2"/>
                <w:sz w:val="20"/>
              </w:rPr>
              <w:t>staff</w:t>
            </w:r>
          </w:p>
        </w:tc>
        <w:tc>
          <w:tcPr>
            <w:tcW w:w="2419" w:type="dxa"/>
            <w:gridSpan w:val="2"/>
          </w:tcPr>
          <w:p>
            <w:pPr>
              <w:pStyle w:val="TableParagraph"/>
              <w:spacing w:before="198"/>
              <w:ind w:left="107" w:right="96"/>
              <w:jc w:val="both"/>
              <w:rPr>
                <w:sz w:val="20"/>
              </w:rPr>
            </w:pPr>
            <w:r>
              <w:rPr>
                <w:sz w:val="20"/>
              </w:rPr>
              <w:t>To be uploaded to the Policies section of the Intranet by the policy </w:t>
            </w:r>
            <w:r>
              <w:rPr>
                <w:spacing w:val="-2"/>
                <w:sz w:val="20"/>
              </w:rPr>
              <w:t>administrator.</w:t>
            </w:r>
          </w:p>
        </w:tc>
        <w:tc>
          <w:tcPr>
            <w:tcW w:w="1685" w:type="dxa"/>
          </w:tcPr>
          <w:p>
            <w:pPr>
              <w:pStyle w:val="TableParagraph"/>
              <w:spacing w:before="78"/>
              <w:ind w:left="108"/>
              <w:rPr>
                <w:sz w:val="20"/>
              </w:rPr>
            </w:pPr>
            <w:r>
              <w:rPr>
                <w:spacing w:val="-2"/>
                <w:sz w:val="20"/>
              </w:rPr>
              <w:t>Electronic</w:t>
            </w:r>
          </w:p>
        </w:tc>
        <w:tc>
          <w:tcPr>
            <w:tcW w:w="2859" w:type="dxa"/>
            <w:gridSpan w:val="2"/>
          </w:tcPr>
          <w:p>
            <w:pPr>
              <w:pStyle w:val="TableParagraph"/>
              <w:spacing w:before="78"/>
              <w:ind w:left="108"/>
              <w:rPr>
                <w:sz w:val="20"/>
              </w:rPr>
            </w:pPr>
            <w:r>
              <w:rPr>
                <w:sz w:val="20"/>
              </w:rPr>
              <w:t>No</w:t>
            </w:r>
            <w:r>
              <w:rPr>
                <w:spacing w:val="-6"/>
                <w:sz w:val="20"/>
              </w:rPr>
              <w:t> </w:t>
            </w:r>
            <w:r>
              <w:rPr>
                <w:sz w:val="20"/>
              </w:rPr>
              <w:t>paper</w:t>
            </w:r>
            <w:r>
              <w:rPr>
                <w:spacing w:val="-5"/>
                <w:sz w:val="20"/>
              </w:rPr>
              <w:t> </w:t>
            </w:r>
            <w:r>
              <w:rPr>
                <w:sz w:val="20"/>
              </w:rPr>
              <w:t>copies</w:t>
            </w:r>
            <w:r>
              <w:rPr>
                <w:spacing w:val="-3"/>
                <w:sz w:val="20"/>
              </w:rPr>
              <w:t> </w:t>
            </w:r>
            <w:r>
              <w:rPr>
                <w:sz w:val="20"/>
              </w:rPr>
              <w:t>will</w:t>
            </w:r>
            <w:r>
              <w:rPr>
                <w:spacing w:val="-6"/>
                <w:sz w:val="20"/>
              </w:rPr>
              <w:t> </w:t>
            </w:r>
            <w:r>
              <w:rPr>
                <w:sz w:val="20"/>
              </w:rPr>
              <w:t>be</w:t>
            </w:r>
            <w:r>
              <w:rPr>
                <w:spacing w:val="-6"/>
                <w:sz w:val="20"/>
              </w:rPr>
              <w:t> </w:t>
            </w:r>
            <w:r>
              <w:rPr>
                <w:spacing w:val="-2"/>
                <w:sz w:val="20"/>
              </w:rPr>
              <w:t>given</w:t>
            </w:r>
          </w:p>
        </w:tc>
      </w:tr>
      <w:tr>
        <w:trPr>
          <w:trHeight w:val="1089" w:hRule="atLeast"/>
        </w:trPr>
        <w:tc>
          <w:tcPr>
            <w:tcW w:w="2172" w:type="dxa"/>
          </w:tcPr>
          <w:p>
            <w:pPr>
              <w:pStyle w:val="TableParagraph"/>
              <w:rPr>
                <w:rFonts w:ascii="Times New Roman"/>
                <w:sz w:val="20"/>
              </w:rPr>
            </w:pPr>
          </w:p>
        </w:tc>
        <w:tc>
          <w:tcPr>
            <w:tcW w:w="2419" w:type="dxa"/>
            <w:gridSpan w:val="2"/>
          </w:tcPr>
          <w:p>
            <w:pPr>
              <w:pStyle w:val="TableParagraph"/>
              <w:spacing w:before="198"/>
              <w:ind w:left="107" w:right="96"/>
              <w:jc w:val="both"/>
              <w:rPr>
                <w:sz w:val="20"/>
              </w:rPr>
            </w:pPr>
            <w:r>
              <w:rPr>
                <w:sz w:val="20"/>
              </w:rPr>
              <w:t>To be publicised by global email by the Outreach Team Lead,</w:t>
            </w:r>
          </w:p>
        </w:tc>
        <w:tc>
          <w:tcPr>
            <w:tcW w:w="1685" w:type="dxa"/>
          </w:tcPr>
          <w:p>
            <w:pPr>
              <w:pStyle w:val="TableParagraph"/>
              <w:spacing w:before="78"/>
              <w:ind w:left="108"/>
              <w:rPr>
                <w:sz w:val="20"/>
              </w:rPr>
            </w:pPr>
            <w:r>
              <w:rPr>
                <w:spacing w:val="-2"/>
                <w:sz w:val="20"/>
              </w:rPr>
              <w:t>Electronic</w:t>
            </w:r>
          </w:p>
        </w:tc>
        <w:tc>
          <w:tcPr>
            <w:tcW w:w="2859" w:type="dxa"/>
            <w:gridSpan w:val="2"/>
          </w:tcPr>
          <w:p>
            <w:pPr>
              <w:pStyle w:val="TableParagraph"/>
              <w:spacing w:before="78"/>
              <w:ind w:left="108"/>
              <w:rPr>
                <w:sz w:val="20"/>
              </w:rPr>
            </w:pPr>
            <w:r>
              <w:rPr>
                <w:sz w:val="20"/>
              </w:rPr>
              <w:t>No</w:t>
            </w:r>
            <w:r>
              <w:rPr>
                <w:spacing w:val="-6"/>
                <w:sz w:val="20"/>
              </w:rPr>
              <w:t> </w:t>
            </w:r>
            <w:r>
              <w:rPr>
                <w:sz w:val="20"/>
              </w:rPr>
              <w:t>paper</w:t>
            </w:r>
            <w:r>
              <w:rPr>
                <w:spacing w:val="-5"/>
                <w:sz w:val="20"/>
              </w:rPr>
              <w:t> </w:t>
            </w:r>
            <w:r>
              <w:rPr>
                <w:sz w:val="20"/>
              </w:rPr>
              <w:t>copies</w:t>
            </w:r>
            <w:r>
              <w:rPr>
                <w:spacing w:val="-3"/>
                <w:sz w:val="20"/>
              </w:rPr>
              <w:t> </w:t>
            </w:r>
            <w:r>
              <w:rPr>
                <w:sz w:val="20"/>
              </w:rPr>
              <w:t>will</w:t>
            </w:r>
            <w:r>
              <w:rPr>
                <w:spacing w:val="-6"/>
                <w:sz w:val="20"/>
              </w:rPr>
              <w:t> </w:t>
            </w:r>
            <w:r>
              <w:rPr>
                <w:sz w:val="20"/>
              </w:rPr>
              <w:t>be</w:t>
            </w:r>
            <w:r>
              <w:rPr>
                <w:spacing w:val="-6"/>
                <w:sz w:val="20"/>
              </w:rPr>
              <w:t> </w:t>
            </w:r>
            <w:r>
              <w:rPr>
                <w:spacing w:val="-2"/>
                <w:sz w:val="20"/>
              </w:rPr>
              <w:t>given</w:t>
            </w:r>
          </w:p>
        </w:tc>
      </w:tr>
      <w:tr>
        <w:trPr>
          <w:trHeight w:val="1322" w:hRule="atLeast"/>
        </w:trPr>
        <w:tc>
          <w:tcPr>
            <w:tcW w:w="2172" w:type="dxa"/>
          </w:tcPr>
          <w:p>
            <w:pPr>
              <w:pStyle w:val="TableParagraph"/>
              <w:rPr>
                <w:rFonts w:ascii="Times New Roman"/>
                <w:sz w:val="20"/>
              </w:rPr>
            </w:pPr>
          </w:p>
        </w:tc>
        <w:tc>
          <w:tcPr>
            <w:tcW w:w="2419" w:type="dxa"/>
            <w:gridSpan w:val="2"/>
          </w:tcPr>
          <w:p>
            <w:pPr>
              <w:pStyle w:val="TableParagraph"/>
              <w:spacing w:before="201"/>
              <w:ind w:left="107" w:right="96"/>
              <w:jc w:val="both"/>
              <w:rPr>
                <w:sz w:val="20"/>
              </w:rPr>
            </w:pPr>
            <w:r>
              <w:rPr>
                <w:sz w:val="20"/>
              </w:rPr>
              <w:t>A link to the policy placed on the Acute Intensive</w:t>
            </w:r>
            <w:r>
              <w:rPr>
                <w:spacing w:val="-1"/>
                <w:sz w:val="20"/>
              </w:rPr>
              <w:t> </w:t>
            </w:r>
            <w:r>
              <w:rPr>
                <w:sz w:val="20"/>
              </w:rPr>
              <w:t>Care</w:t>
            </w:r>
            <w:r>
              <w:rPr>
                <w:spacing w:val="-1"/>
                <w:sz w:val="20"/>
              </w:rPr>
              <w:t> </w:t>
            </w:r>
            <w:r>
              <w:rPr>
                <w:sz w:val="20"/>
              </w:rPr>
              <w:t>Outreach Intranet page.</w:t>
            </w:r>
          </w:p>
        </w:tc>
        <w:tc>
          <w:tcPr>
            <w:tcW w:w="1685" w:type="dxa"/>
          </w:tcPr>
          <w:p>
            <w:pPr>
              <w:pStyle w:val="TableParagraph"/>
              <w:spacing w:before="81"/>
              <w:ind w:left="108"/>
              <w:rPr>
                <w:sz w:val="20"/>
              </w:rPr>
            </w:pPr>
            <w:r>
              <w:rPr>
                <w:spacing w:val="-2"/>
                <w:sz w:val="20"/>
              </w:rPr>
              <w:t>Electronic</w:t>
            </w:r>
          </w:p>
        </w:tc>
        <w:tc>
          <w:tcPr>
            <w:tcW w:w="2859" w:type="dxa"/>
            <w:gridSpan w:val="2"/>
          </w:tcPr>
          <w:p>
            <w:pPr>
              <w:pStyle w:val="TableParagraph"/>
              <w:spacing w:before="81"/>
              <w:ind w:left="108"/>
              <w:rPr>
                <w:sz w:val="20"/>
              </w:rPr>
            </w:pPr>
            <w:r>
              <w:rPr>
                <w:sz w:val="20"/>
              </w:rPr>
              <w:t>No</w:t>
            </w:r>
            <w:r>
              <w:rPr>
                <w:spacing w:val="-6"/>
                <w:sz w:val="20"/>
              </w:rPr>
              <w:t> </w:t>
            </w:r>
            <w:r>
              <w:rPr>
                <w:sz w:val="20"/>
              </w:rPr>
              <w:t>paper</w:t>
            </w:r>
            <w:r>
              <w:rPr>
                <w:spacing w:val="-5"/>
                <w:sz w:val="20"/>
              </w:rPr>
              <w:t> </w:t>
            </w:r>
            <w:r>
              <w:rPr>
                <w:sz w:val="20"/>
              </w:rPr>
              <w:t>copies</w:t>
            </w:r>
            <w:r>
              <w:rPr>
                <w:spacing w:val="-3"/>
                <w:sz w:val="20"/>
              </w:rPr>
              <w:t> </w:t>
            </w:r>
            <w:r>
              <w:rPr>
                <w:sz w:val="20"/>
              </w:rPr>
              <w:t>will</w:t>
            </w:r>
            <w:r>
              <w:rPr>
                <w:spacing w:val="-6"/>
                <w:sz w:val="20"/>
              </w:rPr>
              <w:t> </w:t>
            </w:r>
            <w:r>
              <w:rPr>
                <w:sz w:val="20"/>
              </w:rPr>
              <w:t>be</w:t>
            </w:r>
            <w:r>
              <w:rPr>
                <w:spacing w:val="-6"/>
                <w:sz w:val="20"/>
              </w:rPr>
              <w:t> </w:t>
            </w:r>
            <w:r>
              <w:rPr>
                <w:spacing w:val="-2"/>
                <w:sz w:val="20"/>
              </w:rPr>
              <w:t>given</w:t>
            </w:r>
          </w:p>
        </w:tc>
      </w:tr>
      <w:tr>
        <w:trPr>
          <w:trHeight w:val="1080" w:hRule="atLeast"/>
        </w:trPr>
        <w:tc>
          <w:tcPr>
            <w:tcW w:w="2172" w:type="dxa"/>
          </w:tcPr>
          <w:p>
            <w:pPr>
              <w:pStyle w:val="TableParagraph"/>
              <w:rPr>
                <w:rFonts w:ascii="Times New Roman"/>
                <w:sz w:val="20"/>
              </w:rPr>
            </w:pPr>
          </w:p>
        </w:tc>
        <w:tc>
          <w:tcPr>
            <w:tcW w:w="2419" w:type="dxa"/>
            <w:gridSpan w:val="2"/>
          </w:tcPr>
          <w:p>
            <w:pPr>
              <w:pStyle w:val="TableParagraph"/>
              <w:spacing w:before="79"/>
              <w:ind w:left="107" w:right="97"/>
              <w:jc w:val="both"/>
              <w:rPr>
                <w:sz w:val="20"/>
              </w:rPr>
            </w:pPr>
            <w:r>
              <w:rPr>
                <w:sz w:val="20"/>
              </w:rPr>
              <w:t>Managers required to disseminate</w:t>
            </w:r>
            <w:r>
              <w:rPr>
                <w:spacing w:val="-2"/>
                <w:sz w:val="20"/>
              </w:rPr>
              <w:t> </w:t>
            </w:r>
            <w:r>
              <w:rPr>
                <w:sz w:val="20"/>
              </w:rPr>
              <w:t>to</w:t>
            </w:r>
            <w:r>
              <w:rPr>
                <w:spacing w:val="-1"/>
                <w:sz w:val="20"/>
              </w:rPr>
              <w:t> </w:t>
            </w:r>
            <w:r>
              <w:rPr>
                <w:sz w:val="20"/>
              </w:rPr>
              <w:t>their</w:t>
            </w:r>
            <w:r>
              <w:rPr>
                <w:spacing w:val="-1"/>
                <w:sz w:val="20"/>
              </w:rPr>
              <w:t> </w:t>
            </w:r>
            <w:r>
              <w:rPr>
                <w:sz w:val="20"/>
              </w:rPr>
              <w:t>staff via</w:t>
            </w:r>
            <w:r>
              <w:rPr>
                <w:spacing w:val="-13"/>
                <w:sz w:val="20"/>
              </w:rPr>
              <w:t> </w:t>
            </w:r>
            <w:r>
              <w:rPr>
                <w:sz w:val="20"/>
              </w:rPr>
              <w:t>usual</w:t>
            </w:r>
            <w:r>
              <w:rPr>
                <w:spacing w:val="-13"/>
                <w:sz w:val="20"/>
              </w:rPr>
              <w:t> </w:t>
            </w:r>
            <w:r>
              <w:rPr>
                <w:sz w:val="20"/>
              </w:rPr>
              <w:t>communication </w:t>
            </w:r>
            <w:r>
              <w:rPr>
                <w:spacing w:val="-2"/>
                <w:sz w:val="20"/>
              </w:rPr>
              <w:t>channels.</w:t>
            </w:r>
          </w:p>
        </w:tc>
        <w:tc>
          <w:tcPr>
            <w:tcW w:w="1685" w:type="dxa"/>
          </w:tcPr>
          <w:p>
            <w:pPr>
              <w:pStyle w:val="TableParagraph"/>
              <w:spacing w:before="79"/>
              <w:ind w:left="108"/>
              <w:rPr>
                <w:sz w:val="20"/>
              </w:rPr>
            </w:pPr>
            <w:r>
              <w:rPr>
                <w:spacing w:val="-2"/>
                <w:sz w:val="20"/>
              </w:rPr>
              <w:t>Electronic</w:t>
            </w:r>
          </w:p>
        </w:tc>
        <w:tc>
          <w:tcPr>
            <w:tcW w:w="2859" w:type="dxa"/>
            <w:gridSpan w:val="2"/>
          </w:tcPr>
          <w:p>
            <w:pPr>
              <w:pStyle w:val="TableParagraph"/>
              <w:spacing w:before="79"/>
              <w:ind w:left="108"/>
              <w:rPr>
                <w:sz w:val="20"/>
              </w:rPr>
            </w:pPr>
            <w:r>
              <w:rPr>
                <w:sz w:val="20"/>
              </w:rPr>
              <w:t>No</w:t>
            </w:r>
            <w:r>
              <w:rPr>
                <w:spacing w:val="-6"/>
                <w:sz w:val="20"/>
              </w:rPr>
              <w:t> </w:t>
            </w:r>
            <w:r>
              <w:rPr>
                <w:sz w:val="20"/>
              </w:rPr>
              <w:t>paper</w:t>
            </w:r>
            <w:r>
              <w:rPr>
                <w:spacing w:val="-5"/>
                <w:sz w:val="20"/>
              </w:rPr>
              <w:t> </w:t>
            </w:r>
            <w:r>
              <w:rPr>
                <w:sz w:val="20"/>
              </w:rPr>
              <w:t>copies</w:t>
            </w:r>
            <w:r>
              <w:rPr>
                <w:spacing w:val="-3"/>
                <w:sz w:val="20"/>
              </w:rPr>
              <w:t> </w:t>
            </w:r>
            <w:r>
              <w:rPr>
                <w:sz w:val="20"/>
              </w:rPr>
              <w:t>will</w:t>
            </w:r>
            <w:r>
              <w:rPr>
                <w:spacing w:val="-6"/>
                <w:sz w:val="20"/>
              </w:rPr>
              <w:t> </w:t>
            </w:r>
            <w:r>
              <w:rPr>
                <w:sz w:val="20"/>
              </w:rPr>
              <w:t>be</w:t>
            </w:r>
            <w:r>
              <w:rPr>
                <w:spacing w:val="-6"/>
                <w:sz w:val="20"/>
              </w:rPr>
              <w:t> </w:t>
            </w:r>
            <w:r>
              <w:rPr>
                <w:spacing w:val="-2"/>
                <w:sz w:val="20"/>
              </w:rPr>
              <w:t>given</w:t>
            </w:r>
          </w:p>
        </w:tc>
      </w:tr>
      <w:tr>
        <w:trPr>
          <w:trHeight w:val="1079" w:hRule="atLeast"/>
        </w:trPr>
        <w:tc>
          <w:tcPr>
            <w:tcW w:w="2172" w:type="dxa"/>
          </w:tcPr>
          <w:p>
            <w:pPr>
              <w:pStyle w:val="TableParagraph"/>
              <w:rPr>
                <w:rFonts w:ascii="Times New Roman"/>
                <w:sz w:val="20"/>
              </w:rPr>
            </w:pPr>
          </w:p>
        </w:tc>
        <w:tc>
          <w:tcPr>
            <w:tcW w:w="2419" w:type="dxa"/>
            <w:gridSpan w:val="2"/>
          </w:tcPr>
          <w:p>
            <w:pPr>
              <w:pStyle w:val="TableParagraph"/>
              <w:spacing w:before="78"/>
              <w:ind w:left="107" w:right="94"/>
              <w:jc w:val="both"/>
              <w:rPr>
                <w:sz w:val="20"/>
              </w:rPr>
            </w:pPr>
            <w:r>
              <w:rPr>
                <w:sz w:val="20"/>
              </w:rPr>
              <w:t>Practice Educators and members of </w:t>
            </w:r>
            <w:r>
              <w:rPr>
                <w:sz w:val="20"/>
              </w:rPr>
              <w:t>the Outreach</w:t>
            </w:r>
            <w:r>
              <w:rPr>
                <w:spacing w:val="-1"/>
                <w:sz w:val="20"/>
              </w:rPr>
              <w:t> </w:t>
            </w:r>
            <w:r>
              <w:rPr>
                <w:sz w:val="20"/>
              </w:rPr>
              <w:t>Team will</w:t>
            </w:r>
            <w:r>
              <w:rPr>
                <w:spacing w:val="-2"/>
                <w:sz w:val="20"/>
              </w:rPr>
              <w:t> </w:t>
            </w:r>
            <w:r>
              <w:rPr>
                <w:sz w:val="20"/>
              </w:rPr>
              <w:t>train and educate ward staff</w:t>
            </w:r>
          </w:p>
        </w:tc>
        <w:tc>
          <w:tcPr>
            <w:tcW w:w="1685" w:type="dxa"/>
          </w:tcPr>
          <w:p>
            <w:pPr>
              <w:pStyle w:val="TableParagraph"/>
              <w:spacing w:before="78"/>
              <w:ind w:left="108"/>
              <w:rPr>
                <w:sz w:val="20"/>
              </w:rPr>
            </w:pPr>
            <w:r>
              <w:rPr>
                <w:spacing w:val="-2"/>
                <w:sz w:val="20"/>
              </w:rPr>
              <w:t>Electronic/Paper</w:t>
            </w:r>
          </w:p>
        </w:tc>
        <w:tc>
          <w:tcPr>
            <w:tcW w:w="2859" w:type="dxa"/>
            <w:gridSpan w:val="2"/>
          </w:tcPr>
          <w:p>
            <w:pPr>
              <w:pStyle w:val="TableParagraph"/>
              <w:rPr>
                <w:rFonts w:ascii="Times New Roman"/>
                <w:sz w:val="20"/>
              </w:rPr>
            </w:pPr>
          </w:p>
        </w:tc>
      </w:tr>
      <w:tr>
        <w:trPr>
          <w:trHeight w:val="390" w:hRule="atLeast"/>
        </w:trPr>
        <w:tc>
          <w:tcPr>
            <w:tcW w:w="2172" w:type="dxa"/>
          </w:tcPr>
          <w:p>
            <w:pPr>
              <w:pStyle w:val="TableParagraph"/>
              <w:rPr>
                <w:rFonts w:ascii="Times New Roman"/>
                <w:sz w:val="20"/>
              </w:rPr>
            </w:pPr>
          </w:p>
        </w:tc>
        <w:tc>
          <w:tcPr>
            <w:tcW w:w="2419" w:type="dxa"/>
            <w:gridSpan w:val="2"/>
          </w:tcPr>
          <w:p>
            <w:pPr>
              <w:pStyle w:val="TableParagraph"/>
              <w:spacing w:before="78"/>
              <w:ind w:left="107"/>
              <w:rPr>
                <w:sz w:val="20"/>
              </w:rPr>
            </w:pPr>
            <w:r>
              <w:rPr>
                <w:sz w:val="20"/>
              </w:rPr>
              <w:t>At</w:t>
            </w:r>
            <w:r>
              <w:rPr>
                <w:spacing w:val="-4"/>
                <w:sz w:val="20"/>
              </w:rPr>
              <w:t> </w:t>
            </w:r>
            <w:r>
              <w:rPr>
                <w:sz w:val="20"/>
              </w:rPr>
              <w:t>Trust</w:t>
            </w:r>
            <w:r>
              <w:rPr>
                <w:spacing w:val="-4"/>
                <w:sz w:val="20"/>
              </w:rPr>
              <w:t> </w:t>
            </w:r>
            <w:r>
              <w:rPr>
                <w:spacing w:val="-2"/>
                <w:sz w:val="20"/>
              </w:rPr>
              <w:t>Induction</w:t>
            </w:r>
          </w:p>
        </w:tc>
        <w:tc>
          <w:tcPr>
            <w:tcW w:w="1685" w:type="dxa"/>
          </w:tcPr>
          <w:p>
            <w:pPr>
              <w:pStyle w:val="TableParagraph"/>
              <w:spacing w:before="78"/>
              <w:ind w:left="108"/>
              <w:rPr>
                <w:sz w:val="20"/>
              </w:rPr>
            </w:pPr>
            <w:r>
              <w:rPr>
                <w:spacing w:val="-2"/>
                <w:sz w:val="20"/>
              </w:rPr>
              <w:t>Electronic</w:t>
            </w:r>
          </w:p>
        </w:tc>
        <w:tc>
          <w:tcPr>
            <w:tcW w:w="2859" w:type="dxa"/>
            <w:gridSpan w:val="2"/>
          </w:tcPr>
          <w:p>
            <w:pPr>
              <w:pStyle w:val="TableParagraph"/>
              <w:rPr>
                <w:rFonts w:ascii="Times New Roman"/>
                <w:sz w:val="20"/>
              </w:rPr>
            </w:pPr>
          </w:p>
        </w:tc>
      </w:tr>
    </w:tbl>
    <w:p>
      <w:pPr>
        <w:pStyle w:val="TableParagraph"/>
        <w:spacing w:after="0"/>
        <w:rPr>
          <w:rFonts w:ascii="Times New Roman"/>
          <w:sz w:val="20"/>
        </w:rPr>
        <w:sectPr>
          <w:pgSz w:w="11910" w:h="16840"/>
          <w:pgMar w:header="0" w:footer="955" w:top="620" w:bottom="1140" w:left="425" w:right="566"/>
        </w:sectPr>
      </w:pPr>
    </w:p>
    <w:p>
      <w:pPr>
        <w:spacing w:before="77"/>
        <w:ind w:left="140" w:right="3" w:firstLine="0"/>
        <w:jc w:val="center"/>
        <w:rPr>
          <w:rFonts w:ascii="Arial"/>
          <w:b/>
          <w:sz w:val="22"/>
        </w:rPr>
      </w:pPr>
      <w:r>
        <w:rPr>
          <w:rFonts w:ascii="Arial"/>
          <w:b/>
          <w:sz w:val="22"/>
        </w:rPr>
        <w:t>Dissemination</w:t>
      </w:r>
      <w:r>
        <w:rPr>
          <w:rFonts w:ascii="Arial"/>
          <w:b/>
          <w:spacing w:val="-6"/>
          <w:sz w:val="22"/>
        </w:rPr>
        <w:t> </w:t>
      </w:r>
      <w:r>
        <w:rPr>
          <w:rFonts w:ascii="Arial"/>
          <w:b/>
          <w:sz w:val="22"/>
        </w:rPr>
        <w:t>Record</w:t>
      </w:r>
      <w:r>
        <w:rPr>
          <w:rFonts w:ascii="Arial"/>
          <w:b/>
          <w:spacing w:val="-7"/>
          <w:sz w:val="22"/>
        </w:rPr>
        <w:t> </w:t>
      </w:r>
      <w:r>
        <w:rPr>
          <w:rFonts w:ascii="Arial"/>
          <w:b/>
          <w:sz w:val="22"/>
        </w:rPr>
        <w:t>- to</w:t>
      </w:r>
      <w:r>
        <w:rPr>
          <w:rFonts w:ascii="Arial"/>
          <w:b/>
          <w:spacing w:val="-4"/>
          <w:sz w:val="22"/>
        </w:rPr>
        <w:t> </w:t>
      </w:r>
      <w:r>
        <w:rPr>
          <w:rFonts w:ascii="Arial"/>
          <w:b/>
          <w:sz w:val="22"/>
        </w:rPr>
        <w:t>be</w:t>
      </w:r>
      <w:r>
        <w:rPr>
          <w:rFonts w:ascii="Arial"/>
          <w:b/>
          <w:spacing w:val="-5"/>
          <w:sz w:val="22"/>
        </w:rPr>
        <w:t> </w:t>
      </w:r>
      <w:r>
        <w:rPr>
          <w:rFonts w:ascii="Arial"/>
          <w:b/>
          <w:sz w:val="22"/>
        </w:rPr>
        <w:t>used</w:t>
      </w:r>
      <w:r>
        <w:rPr>
          <w:rFonts w:ascii="Arial"/>
          <w:b/>
          <w:spacing w:val="-2"/>
          <w:sz w:val="22"/>
        </w:rPr>
        <w:t> </w:t>
      </w:r>
      <w:r>
        <w:rPr>
          <w:rFonts w:ascii="Arial"/>
          <w:b/>
          <w:sz w:val="22"/>
        </w:rPr>
        <w:t>once</w:t>
      </w:r>
      <w:r>
        <w:rPr>
          <w:rFonts w:ascii="Arial"/>
          <w:b/>
          <w:spacing w:val="-4"/>
          <w:sz w:val="22"/>
        </w:rPr>
        <w:t> </w:t>
      </w:r>
      <w:r>
        <w:rPr>
          <w:rFonts w:ascii="Arial"/>
          <w:b/>
          <w:sz w:val="22"/>
        </w:rPr>
        <w:t>document</w:t>
      </w:r>
      <w:r>
        <w:rPr>
          <w:rFonts w:ascii="Arial"/>
          <w:b/>
          <w:spacing w:val="-3"/>
          <w:sz w:val="22"/>
        </w:rPr>
        <w:t> </w:t>
      </w:r>
      <w:r>
        <w:rPr>
          <w:rFonts w:ascii="Arial"/>
          <w:b/>
          <w:sz w:val="22"/>
        </w:rPr>
        <w:t>is</w:t>
      </w:r>
      <w:r>
        <w:rPr>
          <w:rFonts w:ascii="Arial"/>
          <w:b/>
          <w:spacing w:val="-4"/>
          <w:sz w:val="22"/>
        </w:rPr>
        <w:t> </w:t>
      </w:r>
      <w:r>
        <w:rPr>
          <w:rFonts w:ascii="Arial"/>
          <w:b/>
          <w:spacing w:val="-2"/>
          <w:sz w:val="22"/>
        </w:rPr>
        <w:t>approved.</w:t>
      </w:r>
    </w:p>
    <w:p>
      <w:pPr>
        <w:pStyle w:val="BodyText"/>
        <w:spacing w:before="7"/>
        <w:rPr>
          <w:rFonts w:ascii="Arial"/>
          <w:b/>
          <w:sz w:val="17"/>
        </w:rPr>
      </w:pPr>
    </w:p>
    <w:tbl>
      <w:tblPr>
        <w:tblW w:w="0" w:type="auto"/>
        <w:jc w:val="left"/>
        <w:tblInd w:w="10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0" w:type="dxa"/>
          <w:left w:w="0" w:type="dxa"/>
          <w:bottom w:w="0" w:type="dxa"/>
          <w:right w:w="0" w:type="dxa"/>
        </w:tblCellMar>
        <w:tblLook w:val="01E0"/>
      </w:tblPr>
      <w:tblGrid>
        <w:gridCol w:w="2708"/>
        <w:gridCol w:w="1860"/>
        <w:gridCol w:w="2705"/>
        <w:gridCol w:w="1820"/>
      </w:tblGrid>
      <w:tr>
        <w:trPr>
          <w:trHeight w:val="1075" w:hRule="atLeast"/>
        </w:trPr>
        <w:tc>
          <w:tcPr>
            <w:tcW w:w="2708" w:type="dxa"/>
          </w:tcPr>
          <w:p>
            <w:pPr>
              <w:pStyle w:val="TableParagraph"/>
              <w:spacing w:before="186"/>
              <w:ind w:left="107" w:right="101"/>
              <w:jc w:val="both"/>
              <w:rPr>
                <w:rFonts w:ascii="Arial"/>
                <w:b/>
                <w:sz w:val="20"/>
              </w:rPr>
            </w:pPr>
            <w:r>
              <w:rPr>
                <w:rFonts w:ascii="Arial"/>
                <w:b/>
                <w:sz w:val="20"/>
              </w:rPr>
              <w:t>Date put on register </w:t>
            </w:r>
            <w:r>
              <w:rPr>
                <w:rFonts w:ascii="Arial"/>
                <w:b/>
                <w:sz w:val="20"/>
              </w:rPr>
              <w:t>/ library of policy or procedural documents</w:t>
            </w:r>
          </w:p>
        </w:tc>
        <w:tc>
          <w:tcPr>
            <w:tcW w:w="1860" w:type="dxa"/>
          </w:tcPr>
          <w:p>
            <w:pPr>
              <w:pStyle w:val="TableParagraph"/>
              <w:rPr>
                <w:rFonts w:ascii="Times New Roman"/>
                <w:sz w:val="20"/>
              </w:rPr>
            </w:pPr>
          </w:p>
        </w:tc>
        <w:tc>
          <w:tcPr>
            <w:tcW w:w="2705" w:type="dxa"/>
          </w:tcPr>
          <w:p>
            <w:pPr>
              <w:pStyle w:val="TableParagraph"/>
              <w:spacing w:before="186"/>
              <w:ind w:left="107"/>
              <w:rPr>
                <w:rFonts w:ascii="Arial"/>
                <w:b/>
                <w:sz w:val="20"/>
              </w:rPr>
            </w:pPr>
            <w:r>
              <w:rPr>
                <w:rFonts w:ascii="Arial"/>
                <w:b/>
                <w:sz w:val="20"/>
              </w:rPr>
              <w:t>Date</w:t>
            </w:r>
            <w:r>
              <w:rPr>
                <w:rFonts w:ascii="Arial"/>
                <w:b/>
                <w:spacing w:val="-4"/>
                <w:sz w:val="20"/>
              </w:rPr>
              <w:t> </w:t>
            </w:r>
            <w:r>
              <w:rPr>
                <w:rFonts w:ascii="Arial"/>
                <w:b/>
                <w:sz w:val="20"/>
              </w:rPr>
              <w:t>due</w:t>
            </w:r>
            <w:r>
              <w:rPr>
                <w:rFonts w:ascii="Arial"/>
                <w:b/>
                <w:spacing w:val="-4"/>
                <w:sz w:val="20"/>
              </w:rPr>
              <w:t> </w:t>
            </w:r>
            <w:r>
              <w:rPr>
                <w:rFonts w:ascii="Arial"/>
                <w:b/>
                <w:sz w:val="20"/>
              </w:rPr>
              <w:t>to</w:t>
            </w:r>
            <w:r>
              <w:rPr>
                <w:rFonts w:ascii="Arial"/>
                <w:b/>
                <w:spacing w:val="-3"/>
                <w:sz w:val="20"/>
              </w:rPr>
              <w:t> </w:t>
            </w:r>
            <w:r>
              <w:rPr>
                <w:rFonts w:ascii="Arial"/>
                <w:b/>
                <w:sz w:val="20"/>
              </w:rPr>
              <w:t>be</w:t>
            </w:r>
            <w:r>
              <w:rPr>
                <w:rFonts w:ascii="Arial"/>
                <w:b/>
                <w:spacing w:val="-2"/>
                <w:sz w:val="20"/>
              </w:rPr>
              <w:t> reviewed</w:t>
            </w:r>
          </w:p>
        </w:tc>
        <w:tc>
          <w:tcPr>
            <w:tcW w:w="1820" w:type="dxa"/>
          </w:tcPr>
          <w:p>
            <w:pPr>
              <w:pStyle w:val="TableParagraph"/>
              <w:rPr>
                <w:rFonts w:ascii="Times New Roman"/>
                <w:sz w:val="20"/>
              </w:rPr>
            </w:pPr>
          </w:p>
        </w:tc>
      </w:tr>
    </w:tbl>
    <w:p>
      <w:pPr>
        <w:pStyle w:val="BodyText"/>
        <w:rPr>
          <w:rFonts w:ascii="Arial"/>
          <w:b/>
          <w:sz w:val="20"/>
        </w:rPr>
      </w:pPr>
    </w:p>
    <w:p>
      <w:pPr>
        <w:pStyle w:val="BodyText"/>
        <w:spacing w:before="192"/>
        <w:rPr>
          <w:rFonts w:ascii="Arial"/>
          <w:b/>
          <w:sz w:val="20"/>
        </w:rPr>
      </w:pPr>
    </w:p>
    <w:tbl>
      <w:tblPr>
        <w:tblW w:w="0" w:type="auto"/>
        <w:jc w:val="left"/>
        <w:tblInd w:w="10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0" w:type="dxa"/>
          <w:left w:w="0" w:type="dxa"/>
          <w:bottom w:w="0" w:type="dxa"/>
          <w:right w:w="0" w:type="dxa"/>
        </w:tblCellMar>
        <w:tblLook w:val="01E0"/>
      </w:tblPr>
      <w:tblGrid>
        <w:gridCol w:w="2270"/>
        <w:gridCol w:w="1491"/>
        <w:gridCol w:w="1793"/>
        <w:gridCol w:w="1075"/>
        <w:gridCol w:w="2463"/>
      </w:tblGrid>
      <w:tr>
        <w:trPr>
          <w:trHeight w:val="851" w:hRule="atLeast"/>
        </w:trPr>
        <w:tc>
          <w:tcPr>
            <w:tcW w:w="2270" w:type="dxa"/>
          </w:tcPr>
          <w:p>
            <w:pPr>
              <w:pStyle w:val="TableParagraph"/>
              <w:spacing w:before="76"/>
              <w:ind w:left="151" w:right="142" w:hanging="1"/>
              <w:jc w:val="center"/>
              <w:rPr>
                <w:rFonts w:ascii="Arial"/>
                <w:b/>
                <w:sz w:val="20"/>
              </w:rPr>
            </w:pPr>
            <w:r>
              <w:rPr>
                <w:rFonts w:ascii="Arial"/>
                <w:b/>
                <w:sz w:val="20"/>
              </w:rPr>
              <w:t>Disseminated to: (either</w:t>
            </w:r>
            <w:r>
              <w:rPr>
                <w:rFonts w:ascii="Arial"/>
                <w:b/>
                <w:spacing w:val="-14"/>
                <w:sz w:val="20"/>
              </w:rPr>
              <w:t> </w:t>
            </w:r>
            <w:r>
              <w:rPr>
                <w:rFonts w:ascii="Arial"/>
                <w:b/>
                <w:sz w:val="20"/>
              </w:rPr>
              <w:t>directly</w:t>
            </w:r>
            <w:r>
              <w:rPr>
                <w:rFonts w:ascii="Arial"/>
                <w:b/>
                <w:spacing w:val="-14"/>
                <w:sz w:val="20"/>
              </w:rPr>
              <w:t> </w:t>
            </w:r>
            <w:r>
              <w:rPr>
                <w:rFonts w:ascii="Arial"/>
                <w:b/>
                <w:sz w:val="20"/>
              </w:rPr>
              <w:t>or</w:t>
            </w:r>
            <w:r>
              <w:rPr>
                <w:rFonts w:ascii="Arial"/>
                <w:b/>
                <w:spacing w:val="-13"/>
                <w:sz w:val="20"/>
              </w:rPr>
              <w:t> </w:t>
            </w:r>
            <w:r>
              <w:rPr>
                <w:rFonts w:ascii="Arial"/>
                <w:b/>
                <w:sz w:val="20"/>
              </w:rPr>
              <w:t>via meetings, etc)</w:t>
            </w:r>
          </w:p>
        </w:tc>
        <w:tc>
          <w:tcPr>
            <w:tcW w:w="1491" w:type="dxa"/>
          </w:tcPr>
          <w:p>
            <w:pPr>
              <w:pStyle w:val="TableParagraph"/>
              <w:spacing w:before="76"/>
              <w:ind w:left="207" w:right="197"/>
              <w:jc w:val="center"/>
              <w:rPr>
                <w:rFonts w:ascii="Arial"/>
                <w:b/>
                <w:sz w:val="20"/>
              </w:rPr>
            </w:pPr>
            <w:r>
              <w:rPr>
                <w:rFonts w:ascii="Arial"/>
                <w:b/>
                <w:sz w:val="20"/>
              </w:rPr>
              <w:t>Format</w:t>
            </w:r>
            <w:r>
              <w:rPr>
                <w:rFonts w:ascii="Arial"/>
                <w:b/>
                <w:spacing w:val="-14"/>
                <w:sz w:val="20"/>
              </w:rPr>
              <w:t> </w:t>
            </w:r>
            <w:r>
              <w:rPr>
                <w:rFonts w:ascii="Arial"/>
                <w:b/>
                <w:sz w:val="20"/>
              </w:rPr>
              <w:t>(i.e. paper or </w:t>
            </w:r>
            <w:r>
              <w:rPr>
                <w:rFonts w:ascii="Arial"/>
                <w:b/>
                <w:spacing w:val="-2"/>
                <w:sz w:val="20"/>
              </w:rPr>
              <w:t>electronic)</w:t>
            </w:r>
          </w:p>
        </w:tc>
        <w:tc>
          <w:tcPr>
            <w:tcW w:w="1793" w:type="dxa"/>
          </w:tcPr>
          <w:p>
            <w:pPr>
              <w:pStyle w:val="TableParagraph"/>
              <w:spacing w:line="242" w:lineRule="auto" w:before="76"/>
              <w:ind w:left="244" w:right="238" w:firstLine="434"/>
              <w:rPr>
                <w:rFonts w:ascii="Arial"/>
                <w:b/>
                <w:sz w:val="20"/>
              </w:rPr>
            </w:pPr>
            <w:r>
              <w:rPr>
                <w:rFonts w:ascii="Arial"/>
                <w:b/>
                <w:spacing w:val="-4"/>
                <w:sz w:val="20"/>
              </w:rPr>
              <w:t>Date </w:t>
            </w:r>
            <w:r>
              <w:rPr>
                <w:rFonts w:ascii="Arial"/>
                <w:b/>
                <w:spacing w:val="-2"/>
                <w:sz w:val="20"/>
              </w:rPr>
              <w:t>Disseminated</w:t>
            </w:r>
          </w:p>
        </w:tc>
        <w:tc>
          <w:tcPr>
            <w:tcW w:w="1075" w:type="dxa"/>
          </w:tcPr>
          <w:p>
            <w:pPr>
              <w:pStyle w:val="TableParagraph"/>
              <w:spacing w:before="76"/>
              <w:ind w:left="204" w:right="193"/>
              <w:jc w:val="center"/>
              <w:rPr>
                <w:rFonts w:ascii="Arial"/>
                <w:b/>
                <w:sz w:val="20"/>
              </w:rPr>
            </w:pPr>
            <w:r>
              <w:rPr>
                <w:rFonts w:ascii="Arial"/>
                <w:b/>
                <w:sz w:val="20"/>
              </w:rPr>
              <w:t>No. of </w:t>
            </w:r>
            <w:r>
              <w:rPr>
                <w:rFonts w:ascii="Arial"/>
                <w:b/>
                <w:spacing w:val="-2"/>
                <w:sz w:val="20"/>
              </w:rPr>
              <w:t>Copies </w:t>
            </w:r>
            <w:r>
              <w:rPr>
                <w:rFonts w:ascii="Arial"/>
                <w:b/>
                <w:spacing w:val="-4"/>
                <w:sz w:val="20"/>
              </w:rPr>
              <w:t>Sent</w:t>
            </w:r>
          </w:p>
        </w:tc>
        <w:tc>
          <w:tcPr>
            <w:tcW w:w="2463" w:type="dxa"/>
          </w:tcPr>
          <w:p>
            <w:pPr>
              <w:pStyle w:val="TableParagraph"/>
              <w:spacing w:line="242" w:lineRule="auto" w:before="76"/>
              <w:ind w:left="713" w:right="439" w:hanging="267"/>
              <w:rPr>
                <w:rFonts w:ascii="Arial"/>
                <w:b/>
                <w:sz w:val="20"/>
              </w:rPr>
            </w:pPr>
            <w:r>
              <w:rPr>
                <w:rFonts w:ascii="Arial"/>
                <w:b/>
                <w:sz w:val="20"/>
              </w:rPr>
              <w:t>Contact</w:t>
            </w:r>
            <w:r>
              <w:rPr>
                <w:rFonts w:ascii="Arial"/>
                <w:b/>
                <w:spacing w:val="-14"/>
                <w:sz w:val="20"/>
              </w:rPr>
              <w:t> </w:t>
            </w:r>
            <w:r>
              <w:rPr>
                <w:rFonts w:ascii="Arial"/>
                <w:b/>
                <w:sz w:val="20"/>
              </w:rPr>
              <w:t>Details</w:t>
            </w:r>
            <w:r>
              <w:rPr>
                <w:rFonts w:ascii="Arial"/>
                <w:b/>
                <w:spacing w:val="-14"/>
                <w:sz w:val="20"/>
              </w:rPr>
              <w:t> </w:t>
            </w:r>
            <w:r>
              <w:rPr>
                <w:rFonts w:ascii="Arial"/>
                <w:b/>
                <w:sz w:val="20"/>
              </w:rPr>
              <w:t>/ </w:t>
            </w:r>
            <w:r>
              <w:rPr>
                <w:rFonts w:ascii="Arial"/>
                <w:b/>
                <w:spacing w:val="-2"/>
                <w:sz w:val="20"/>
              </w:rPr>
              <w:t>Comments</w:t>
            </w:r>
          </w:p>
        </w:tc>
      </w:tr>
      <w:tr>
        <w:trPr>
          <w:trHeight w:val="388" w:hRule="atLeast"/>
        </w:trPr>
        <w:tc>
          <w:tcPr>
            <w:tcW w:w="2270" w:type="dxa"/>
          </w:tcPr>
          <w:p>
            <w:pPr>
              <w:pStyle w:val="TableParagraph"/>
              <w:rPr>
                <w:rFonts w:ascii="Times New Roman"/>
                <w:sz w:val="20"/>
              </w:rPr>
            </w:pPr>
          </w:p>
        </w:tc>
        <w:tc>
          <w:tcPr>
            <w:tcW w:w="1491" w:type="dxa"/>
          </w:tcPr>
          <w:p>
            <w:pPr>
              <w:pStyle w:val="TableParagraph"/>
              <w:rPr>
                <w:rFonts w:ascii="Times New Roman"/>
                <w:sz w:val="20"/>
              </w:rPr>
            </w:pPr>
          </w:p>
        </w:tc>
        <w:tc>
          <w:tcPr>
            <w:tcW w:w="1793" w:type="dxa"/>
          </w:tcPr>
          <w:p>
            <w:pPr>
              <w:pStyle w:val="TableParagraph"/>
              <w:rPr>
                <w:rFonts w:ascii="Times New Roman"/>
                <w:sz w:val="20"/>
              </w:rPr>
            </w:pPr>
          </w:p>
        </w:tc>
        <w:tc>
          <w:tcPr>
            <w:tcW w:w="1075" w:type="dxa"/>
          </w:tcPr>
          <w:p>
            <w:pPr>
              <w:pStyle w:val="TableParagraph"/>
              <w:rPr>
                <w:rFonts w:ascii="Times New Roman"/>
                <w:sz w:val="20"/>
              </w:rPr>
            </w:pPr>
          </w:p>
        </w:tc>
        <w:tc>
          <w:tcPr>
            <w:tcW w:w="2463" w:type="dxa"/>
          </w:tcPr>
          <w:p>
            <w:pPr>
              <w:pStyle w:val="TableParagraph"/>
              <w:rPr>
                <w:rFonts w:ascii="Times New Roman"/>
                <w:sz w:val="20"/>
              </w:rPr>
            </w:pPr>
          </w:p>
        </w:tc>
      </w:tr>
      <w:tr>
        <w:trPr>
          <w:trHeight w:val="390" w:hRule="atLeast"/>
        </w:trPr>
        <w:tc>
          <w:tcPr>
            <w:tcW w:w="2270" w:type="dxa"/>
          </w:tcPr>
          <w:p>
            <w:pPr>
              <w:pStyle w:val="TableParagraph"/>
              <w:rPr>
                <w:rFonts w:ascii="Times New Roman"/>
                <w:sz w:val="20"/>
              </w:rPr>
            </w:pPr>
          </w:p>
        </w:tc>
        <w:tc>
          <w:tcPr>
            <w:tcW w:w="1491" w:type="dxa"/>
          </w:tcPr>
          <w:p>
            <w:pPr>
              <w:pStyle w:val="TableParagraph"/>
              <w:rPr>
                <w:rFonts w:ascii="Times New Roman"/>
                <w:sz w:val="20"/>
              </w:rPr>
            </w:pPr>
          </w:p>
        </w:tc>
        <w:tc>
          <w:tcPr>
            <w:tcW w:w="1793" w:type="dxa"/>
          </w:tcPr>
          <w:p>
            <w:pPr>
              <w:pStyle w:val="TableParagraph"/>
              <w:rPr>
                <w:rFonts w:ascii="Times New Roman"/>
                <w:sz w:val="20"/>
              </w:rPr>
            </w:pPr>
          </w:p>
        </w:tc>
        <w:tc>
          <w:tcPr>
            <w:tcW w:w="1075" w:type="dxa"/>
          </w:tcPr>
          <w:p>
            <w:pPr>
              <w:pStyle w:val="TableParagraph"/>
              <w:rPr>
                <w:rFonts w:ascii="Times New Roman"/>
                <w:sz w:val="20"/>
              </w:rPr>
            </w:pPr>
          </w:p>
        </w:tc>
        <w:tc>
          <w:tcPr>
            <w:tcW w:w="2463" w:type="dxa"/>
          </w:tcPr>
          <w:p>
            <w:pPr>
              <w:pStyle w:val="TableParagraph"/>
              <w:rPr>
                <w:rFonts w:ascii="Times New Roman"/>
                <w:sz w:val="20"/>
              </w:rPr>
            </w:pPr>
          </w:p>
        </w:tc>
      </w:tr>
      <w:tr>
        <w:trPr>
          <w:trHeight w:val="391" w:hRule="atLeast"/>
        </w:trPr>
        <w:tc>
          <w:tcPr>
            <w:tcW w:w="2270" w:type="dxa"/>
          </w:tcPr>
          <w:p>
            <w:pPr>
              <w:pStyle w:val="TableParagraph"/>
              <w:rPr>
                <w:rFonts w:ascii="Times New Roman"/>
                <w:sz w:val="20"/>
              </w:rPr>
            </w:pPr>
          </w:p>
        </w:tc>
        <w:tc>
          <w:tcPr>
            <w:tcW w:w="1491" w:type="dxa"/>
          </w:tcPr>
          <w:p>
            <w:pPr>
              <w:pStyle w:val="TableParagraph"/>
              <w:rPr>
                <w:rFonts w:ascii="Times New Roman"/>
                <w:sz w:val="20"/>
              </w:rPr>
            </w:pPr>
          </w:p>
        </w:tc>
        <w:tc>
          <w:tcPr>
            <w:tcW w:w="1793" w:type="dxa"/>
          </w:tcPr>
          <w:p>
            <w:pPr>
              <w:pStyle w:val="TableParagraph"/>
              <w:rPr>
                <w:rFonts w:ascii="Times New Roman"/>
                <w:sz w:val="20"/>
              </w:rPr>
            </w:pPr>
          </w:p>
        </w:tc>
        <w:tc>
          <w:tcPr>
            <w:tcW w:w="1075" w:type="dxa"/>
          </w:tcPr>
          <w:p>
            <w:pPr>
              <w:pStyle w:val="TableParagraph"/>
              <w:rPr>
                <w:rFonts w:ascii="Times New Roman"/>
                <w:sz w:val="20"/>
              </w:rPr>
            </w:pPr>
          </w:p>
        </w:tc>
        <w:tc>
          <w:tcPr>
            <w:tcW w:w="2463" w:type="dxa"/>
          </w:tcPr>
          <w:p>
            <w:pPr>
              <w:pStyle w:val="TableParagraph"/>
              <w:rPr>
                <w:rFonts w:ascii="Times New Roman"/>
                <w:sz w:val="20"/>
              </w:rPr>
            </w:pPr>
          </w:p>
        </w:tc>
      </w:tr>
    </w:tbl>
    <w:sectPr>
      <w:pgSz w:w="11910" w:h="16840"/>
      <w:pgMar w:header="0" w:footer="955" w:top="620" w:bottom="1140" w:left="425"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ourier New">
    <w:altName w:val="Courier New"/>
    <w:charset w:val="1"/>
    <w:family w:val="modern"/>
    <w:pitch w:val="default"/>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15200">
              <wp:simplePos x="0" y="0"/>
              <wp:positionH relativeFrom="page">
                <wp:posOffset>902004</wp:posOffset>
              </wp:positionH>
              <wp:positionV relativeFrom="page">
                <wp:posOffset>9946205</wp:posOffset>
              </wp:positionV>
              <wp:extent cx="2882900" cy="18224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882900" cy="182245"/>
                      </a:xfrm>
                      <a:prstGeom prst="rect">
                        <a:avLst/>
                      </a:prstGeom>
                    </wps:spPr>
                    <wps:txbx>
                      <w:txbxContent>
                        <w:p>
                          <w:pPr>
                            <w:spacing w:before="13"/>
                            <w:ind w:left="20" w:right="0" w:firstLine="0"/>
                            <w:jc w:val="left"/>
                            <w:rPr>
                              <w:sz w:val="22"/>
                            </w:rPr>
                          </w:pPr>
                          <w:r>
                            <w:rPr>
                              <w:sz w:val="22"/>
                            </w:rPr>
                            <w:t>Date</w:t>
                          </w:r>
                          <w:r>
                            <w:rPr>
                              <w:spacing w:val="-4"/>
                              <w:sz w:val="22"/>
                            </w:rPr>
                            <w:t> </w:t>
                          </w:r>
                          <w:r>
                            <w:rPr>
                              <w:sz w:val="22"/>
                            </w:rPr>
                            <w:t>issued</w:t>
                          </w:r>
                          <w:r>
                            <w:rPr>
                              <w:spacing w:val="-6"/>
                              <w:sz w:val="22"/>
                            </w:rPr>
                            <w:t> </w:t>
                          </w:r>
                          <w:r>
                            <w:rPr>
                              <w:sz w:val="22"/>
                            </w:rPr>
                            <w:t>July</w:t>
                          </w:r>
                          <w:r>
                            <w:rPr>
                              <w:spacing w:val="-6"/>
                              <w:sz w:val="22"/>
                            </w:rPr>
                            <w:t> </w:t>
                          </w:r>
                          <w:r>
                            <w:rPr>
                              <w:sz w:val="22"/>
                            </w:rPr>
                            <w:t>2012.</w:t>
                          </w:r>
                          <w:r>
                            <w:rPr>
                              <w:spacing w:val="-2"/>
                              <w:sz w:val="22"/>
                            </w:rPr>
                            <w:t> </w:t>
                          </w:r>
                          <w:r>
                            <w:rPr>
                              <w:sz w:val="22"/>
                            </w:rPr>
                            <w:t>Review</w:t>
                          </w:r>
                          <w:r>
                            <w:rPr>
                              <w:spacing w:val="-7"/>
                              <w:sz w:val="22"/>
                            </w:rPr>
                            <w:t> </w:t>
                          </w:r>
                          <w:r>
                            <w:rPr>
                              <w:sz w:val="22"/>
                            </w:rPr>
                            <w:t>date</w:t>
                          </w:r>
                          <w:r>
                            <w:rPr>
                              <w:spacing w:val="-4"/>
                              <w:sz w:val="22"/>
                            </w:rPr>
                            <w:t> </w:t>
                          </w:r>
                          <w:r>
                            <w:rPr>
                              <w:sz w:val="22"/>
                            </w:rPr>
                            <w:t>July</w:t>
                          </w:r>
                          <w:r>
                            <w:rPr>
                              <w:spacing w:val="-6"/>
                              <w:sz w:val="22"/>
                            </w:rPr>
                            <w:t> </w:t>
                          </w:r>
                          <w:r>
                            <w:rPr>
                              <w:spacing w:val="-4"/>
                              <w:sz w:val="22"/>
                            </w:rPr>
                            <w:t>2014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783.165771pt;width:227pt;height:14.35pt;mso-position-horizontal-relative:page;mso-position-vertical-relative:page;z-index:-16801280" type="#_x0000_t202" id="docshape1" filled="false" stroked="false">
              <v:textbox inset="0,0,0,0">
                <w:txbxContent>
                  <w:p>
                    <w:pPr>
                      <w:spacing w:before="13"/>
                      <w:ind w:left="20" w:right="0" w:firstLine="0"/>
                      <w:jc w:val="left"/>
                      <w:rPr>
                        <w:sz w:val="22"/>
                      </w:rPr>
                    </w:pPr>
                    <w:r>
                      <w:rPr>
                        <w:sz w:val="22"/>
                      </w:rPr>
                      <w:t>Date</w:t>
                    </w:r>
                    <w:r>
                      <w:rPr>
                        <w:spacing w:val="-4"/>
                        <w:sz w:val="22"/>
                      </w:rPr>
                      <w:t> </w:t>
                    </w:r>
                    <w:r>
                      <w:rPr>
                        <w:sz w:val="22"/>
                      </w:rPr>
                      <w:t>issued</w:t>
                    </w:r>
                    <w:r>
                      <w:rPr>
                        <w:spacing w:val="-6"/>
                        <w:sz w:val="22"/>
                      </w:rPr>
                      <w:t> </w:t>
                    </w:r>
                    <w:r>
                      <w:rPr>
                        <w:sz w:val="22"/>
                      </w:rPr>
                      <w:t>July</w:t>
                    </w:r>
                    <w:r>
                      <w:rPr>
                        <w:spacing w:val="-6"/>
                        <w:sz w:val="22"/>
                      </w:rPr>
                      <w:t> </w:t>
                    </w:r>
                    <w:r>
                      <w:rPr>
                        <w:sz w:val="22"/>
                      </w:rPr>
                      <w:t>2012.</w:t>
                    </w:r>
                    <w:r>
                      <w:rPr>
                        <w:spacing w:val="-2"/>
                        <w:sz w:val="22"/>
                      </w:rPr>
                      <w:t> </w:t>
                    </w:r>
                    <w:r>
                      <w:rPr>
                        <w:sz w:val="22"/>
                      </w:rPr>
                      <w:t>Review</w:t>
                    </w:r>
                    <w:r>
                      <w:rPr>
                        <w:spacing w:val="-7"/>
                        <w:sz w:val="22"/>
                      </w:rPr>
                      <w:t> </w:t>
                    </w:r>
                    <w:r>
                      <w:rPr>
                        <w:sz w:val="22"/>
                      </w:rPr>
                      <w:t>date</w:t>
                    </w:r>
                    <w:r>
                      <w:rPr>
                        <w:spacing w:val="-4"/>
                        <w:sz w:val="22"/>
                      </w:rPr>
                      <w:t> </w:t>
                    </w:r>
                    <w:r>
                      <w:rPr>
                        <w:sz w:val="22"/>
                      </w:rPr>
                      <w:t>July</w:t>
                    </w:r>
                    <w:r>
                      <w:rPr>
                        <w:spacing w:val="-6"/>
                        <w:sz w:val="22"/>
                      </w:rPr>
                      <w:t> </w:t>
                    </w:r>
                    <w:r>
                      <w:rPr>
                        <w:spacing w:val="-4"/>
                        <w:sz w:val="22"/>
                      </w:rPr>
                      <w:t>2014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15712">
              <wp:simplePos x="0" y="0"/>
              <wp:positionH relativeFrom="page">
                <wp:posOffset>6208014</wp:posOffset>
              </wp:positionH>
              <wp:positionV relativeFrom="page">
                <wp:posOffset>10070242</wp:posOffset>
              </wp:positionV>
              <wp:extent cx="48895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88950" cy="153670"/>
                      </a:xfrm>
                      <a:prstGeom prst="rect">
                        <a:avLst/>
                      </a:prstGeom>
                    </wps:spPr>
                    <wps:txbx>
                      <w:txbxContent>
                        <w:p>
                          <w:pPr>
                            <w:spacing w:before="14"/>
                            <w:ind w:left="20" w:right="0" w:firstLine="0"/>
                            <w:jc w:val="left"/>
                            <w:rPr>
                              <w:sz w:val="18"/>
                            </w:rPr>
                          </w:pPr>
                          <w:r>
                            <w:rPr>
                              <w:sz w:val="18"/>
                            </w:rPr>
                            <w:t>Page </w:t>
                          </w:r>
                          <w:r>
                            <w:rPr>
                              <w:spacing w:val="-5"/>
                              <w:sz w:val="18"/>
                            </w:rPr>
                            <w:fldChar w:fldCharType="begin"/>
                          </w:r>
                          <w:r>
                            <w:rPr>
                              <w:spacing w:val="-5"/>
                              <w:sz w:val="18"/>
                            </w:rPr>
                            <w:instrText>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488.820007pt;margin-top:792.932495pt;width:38.5pt;height:12.1pt;mso-position-horizontal-relative:page;mso-position-vertical-relative:page;z-index:-16800768" type="#_x0000_t202" id="docshape2" filled="false" stroked="false">
              <v:textbox inset="0,0,0,0">
                <w:txbxContent>
                  <w:p>
                    <w:pPr>
                      <w:spacing w:before="14"/>
                      <w:ind w:left="20" w:right="0" w:firstLine="0"/>
                      <w:jc w:val="left"/>
                      <w:rPr>
                        <w:sz w:val="18"/>
                      </w:rPr>
                    </w:pPr>
                    <w:r>
                      <w:rPr>
                        <w:sz w:val="18"/>
                      </w:rPr>
                      <w:t>Page </w:t>
                    </w:r>
                    <w:r>
                      <w:rPr>
                        <w:spacing w:val="-5"/>
                        <w:sz w:val="18"/>
                      </w:rPr>
                      <w:fldChar w:fldCharType="begin"/>
                    </w:r>
                    <w:r>
                      <w:rPr>
                        <w:spacing w:val="-5"/>
                        <w:sz w:val="18"/>
                      </w:rPr>
                      <w:instrText> PAGE </w:instrText>
                    </w:r>
                    <w:r>
                      <w:rPr>
                        <w:spacing w:val="-5"/>
                        <w:sz w:val="18"/>
                      </w:rPr>
                      <w:fldChar w:fldCharType="separate"/>
                    </w:r>
                    <w:r>
                      <w:rPr>
                        <w:spacing w:val="-5"/>
                        <w:sz w:val="18"/>
                      </w:rPr>
                      <w:t>10</w:t>
                    </w:r>
                    <w:r>
                      <w:rPr>
                        <w:spacing w:val="-5"/>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540" w:hanging="360"/>
      </w:pPr>
      <w:rPr>
        <w:rFonts w:hint="default" w:ascii="Wingdings" w:hAnsi="Wingdings" w:eastAsia="Wingdings" w:cs="Wingdings"/>
        <w:b w:val="0"/>
        <w:bCs w:val="0"/>
        <w:i w:val="0"/>
        <w:iCs w:val="0"/>
        <w:spacing w:val="0"/>
        <w:w w:val="99"/>
        <w:sz w:val="20"/>
        <w:szCs w:val="20"/>
        <w:lang w:val="en-US" w:eastAsia="en-US" w:bidi="ar-SA"/>
      </w:rPr>
    </w:lvl>
    <w:lvl w:ilvl="1">
      <w:start w:val="0"/>
      <w:numFmt w:val="bullet"/>
      <w:lvlText w:val="•"/>
      <w:lvlJc w:val="left"/>
      <w:pPr>
        <w:ind w:left="784" w:hanging="360"/>
      </w:pPr>
      <w:rPr>
        <w:rFonts w:hint="default"/>
        <w:lang w:val="en-US" w:eastAsia="en-US" w:bidi="ar-SA"/>
      </w:rPr>
    </w:lvl>
    <w:lvl w:ilvl="2">
      <w:start w:val="0"/>
      <w:numFmt w:val="bullet"/>
      <w:lvlText w:val="•"/>
      <w:lvlJc w:val="left"/>
      <w:pPr>
        <w:ind w:left="1029" w:hanging="360"/>
      </w:pPr>
      <w:rPr>
        <w:rFonts w:hint="default"/>
        <w:lang w:val="en-US" w:eastAsia="en-US" w:bidi="ar-SA"/>
      </w:rPr>
    </w:lvl>
    <w:lvl w:ilvl="3">
      <w:start w:val="0"/>
      <w:numFmt w:val="bullet"/>
      <w:lvlText w:val="•"/>
      <w:lvlJc w:val="left"/>
      <w:pPr>
        <w:ind w:left="1273" w:hanging="360"/>
      </w:pPr>
      <w:rPr>
        <w:rFonts w:hint="default"/>
        <w:lang w:val="en-US" w:eastAsia="en-US" w:bidi="ar-SA"/>
      </w:rPr>
    </w:lvl>
    <w:lvl w:ilvl="4">
      <w:start w:val="0"/>
      <w:numFmt w:val="bullet"/>
      <w:lvlText w:val="•"/>
      <w:lvlJc w:val="left"/>
      <w:pPr>
        <w:ind w:left="1518" w:hanging="360"/>
      </w:pPr>
      <w:rPr>
        <w:rFonts w:hint="default"/>
        <w:lang w:val="en-US" w:eastAsia="en-US" w:bidi="ar-SA"/>
      </w:rPr>
    </w:lvl>
    <w:lvl w:ilvl="5">
      <w:start w:val="0"/>
      <w:numFmt w:val="bullet"/>
      <w:lvlText w:val="•"/>
      <w:lvlJc w:val="left"/>
      <w:pPr>
        <w:ind w:left="1762" w:hanging="360"/>
      </w:pPr>
      <w:rPr>
        <w:rFonts w:hint="default"/>
        <w:lang w:val="en-US" w:eastAsia="en-US" w:bidi="ar-SA"/>
      </w:rPr>
    </w:lvl>
    <w:lvl w:ilvl="6">
      <w:start w:val="0"/>
      <w:numFmt w:val="bullet"/>
      <w:lvlText w:val="•"/>
      <w:lvlJc w:val="left"/>
      <w:pPr>
        <w:ind w:left="2007" w:hanging="360"/>
      </w:pPr>
      <w:rPr>
        <w:rFonts w:hint="default"/>
        <w:lang w:val="en-US" w:eastAsia="en-US" w:bidi="ar-SA"/>
      </w:rPr>
    </w:lvl>
    <w:lvl w:ilvl="7">
      <w:start w:val="0"/>
      <w:numFmt w:val="bullet"/>
      <w:lvlText w:val="•"/>
      <w:lvlJc w:val="left"/>
      <w:pPr>
        <w:ind w:left="2251" w:hanging="360"/>
      </w:pPr>
      <w:rPr>
        <w:rFonts w:hint="default"/>
        <w:lang w:val="en-US" w:eastAsia="en-US" w:bidi="ar-SA"/>
      </w:rPr>
    </w:lvl>
    <w:lvl w:ilvl="8">
      <w:start w:val="0"/>
      <w:numFmt w:val="bullet"/>
      <w:lvlText w:val="•"/>
      <w:lvlJc w:val="left"/>
      <w:pPr>
        <w:ind w:left="2496" w:hanging="360"/>
      </w:pPr>
      <w:rPr>
        <w:rFonts w:hint="default"/>
        <w:lang w:val="en-US" w:eastAsia="en-US" w:bidi="ar-SA"/>
      </w:rPr>
    </w:lvl>
  </w:abstractNum>
  <w:abstractNum w:abstractNumId="4">
    <w:multiLevelType w:val="hybridMultilevel"/>
    <w:lvl w:ilvl="0">
      <w:start w:val="0"/>
      <w:numFmt w:val="bullet"/>
      <w:lvlText w:val="o"/>
      <w:lvlJc w:val="left"/>
      <w:pPr>
        <w:ind w:left="634"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1423" w:hanging="360"/>
      </w:pPr>
      <w:rPr>
        <w:rFonts w:hint="default"/>
        <w:lang w:val="en-US" w:eastAsia="en-US" w:bidi="ar-SA"/>
      </w:rPr>
    </w:lvl>
    <w:lvl w:ilvl="2">
      <w:start w:val="0"/>
      <w:numFmt w:val="bullet"/>
      <w:lvlText w:val="•"/>
      <w:lvlJc w:val="left"/>
      <w:pPr>
        <w:ind w:left="2206" w:hanging="360"/>
      </w:pPr>
      <w:rPr>
        <w:rFonts w:hint="default"/>
        <w:lang w:val="en-US" w:eastAsia="en-US" w:bidi="ar-SA"/>
      </w:rPr>
    </w:lvl>
    <w:lvl w:ilvl="3">
      <w:start w:val="0"/>
      <w:numFmt w:val="bullet"/>
      <w:lvlText w:val="•"/>
      <w:lvlJc w:val="left"/>
      <w:pPr>
        <w:ind w:left="2989" w:hanging="360"/>
      </w:pPr>
      <w:rPr>
        <w:rFonts w:hint="default"/>
        <w:lang w:val="en-US" w:eastAsia="en-US" w:bidi="ar-SA"/>
      </w:rPr>
    </w:lvl>
    <w:lvl w:ilvl="4">
      <w:start w:val="0"/>
      <w:numFmt w:val="bullet"/>
      <w:lvlText w:val="•"/>
      <w:lvlJc w:val="left"/>
      <w:pPr>
        <w:ind w:left="3772" w:hanging="360"/>
      </w:pPr>
      <w:rPr>
        <w:rFonts w:hint="default"/>
        <w:lang w:val="en-US" w:eastAsia="en-US" w:bidi="ar-SA"/>
      </w:rPr>
    </w:lvl>
    <w:lvl w:ilvl="5">
      <w:start w:val="0"/>
      <w:numFmt w:val="bullet"/>
      <w:lvlText w:val="•"/>
      <w:lvlJc w:val="left"/>
      <w:pPr>
        <w:ind w:left="4555" w:hanging="360"/>
      </w:pPr>
      <w:rPr>
        <w:rFonts w:hint="default"/>
        <w:lang w:val="en-US" w:eastAsia="en-US" w:bidi="ar-SA"/>
      </w:rPr>
    </w:lvl>
    <w:lvl w:ilvl="6">
      <w:start w:val="0"/>
      <w:numFmt w:val="bullet"/>
      <w:lvlText w:val="•"/>
      <w:lvlJc w:val="left"/>
      <w:pPr>
        <w:ind w:left="5338" w:hanging="360"/>
      </w:pPr>
      <w:rPr>
        <w:rFonts w:hint="default"/>
        <w:lang w:val="en-US" w:eastAsia="en-US" w:bidi="ar-SA"/>
      </w:rPr>
    </w:lvl>
    <w:lvl w:ilvl="7">
      <w:start w:val="0"/>
      <w:numFmt w:val="bullet"/>
      <w:lvlText w:val="•"/>
      <w:lvlJc w:val="left"/>
      <w:pPr>
        <w:ind w:left="6121" w:hanging="360"/>
      </w:pPr>
      <w:rPr>
        <w:rFonts w:hint="default"/>
        <w:lang w:val="en-US" w:eastAsia="en-US" w:bidi="ar-SA"/>
      </w:rPr>
    </w:lvl>
    <w:lvl w:ilvl="8">
      <w:start w:val="0"/>
      <w:numFmt w:val="bullet"/>
      <w:lvlText w:val="•"/>
      <w:lvlJc w:val="left"/>
      <w:pPr>
        <w:ind w:left="6904" w:hanging="360"/>
      </w:pPr>
      <w:rPr>
        <w:rFonts w:hint="default"/>
        <w:lang w:val="en-US" w:eastAsia="en-US" w:bidi="ar-SA"/>
      </w:rPr>
    </w:lvl>
  </w:abstractNum>
  <w:abstractNum w:abstractNumId="3">
    <w:multiLevelType w:val="hybridMultilevel"/>
    <w:lvl w:ilvl="0">
      <w:start w:val="0"/>
      <w:numFmt w:val="bullet"/>
      <w:lvlText w:val="o"/>
      <w:lvlJc w:val="left"/>
      <w:pPr>
        <w:ind w:left="1547"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2216" w:hanging="360"/>
      </w:pPr>
      <w:rPr>
        <w:rFonts w:hint="default"/>
        <w:lang w:val="en-US" w:eastAsia="en-US" w:bidi="ar-SA"/>
      </w:rPr>
    </w:lvl>
    <w:lvl w:ilvl="2">
      <w:start w:val="0"/>
      <w:numFmt w:val="bullet"/>
      <w:lvlText w:val="•"/>
      <w:lvlJc w:val="left"/>
      <w:pPr>
        <w:ind w:left="2892" w:hanging="360"/>
      </w:pPr>
      <w:rPr>
        <w:rFonts w:hint="default"/>
        <w:lang w:val="en-US" w:eastAsia="en-US" w:bidi="ar-SA"/>
      </w:rPr>
    </w:lvl>
    <w:lvl w:ilvl="3">
      <w:start w:val="0"/>
      <w:numFmt w:val="bullet"/>
      <w:lvlText w:val="•"/>
      <w:lvlJc w:val="left"/>
      <w:pPr>
        <w:ind w:left="3568" w:hanging="360"/>
      </w:pPr>
      <w:rPr>
        <w:rFonts w:hint="default"/>
        <w:lang w:val="en-US" w:eastAsia="en-US" w:bidi="ar-SA"/>
      </w:rPr>
    </w:lvl>
    <w:lvl w:ilvl="4">
      <w:start w:val="0"/>
      <w:numFmt w:val="bullet"/>
      <w:lvlText w:val="•"/>
      <w:lvlJc w:val="left"/>
      <w:pPr>
        <w:ind w:left="4244" w:hanging="360"/>
      </w:pPr>
      <w:rPr>
        <w:rFonts w:hint="default"/>
        <w:lang w:val="en-US" w:eastAsia="en-US" w:bidi="ar-SA"/>
      </w:rPr>
    </w:lvl>
    <w:lvl w:ilvl="5">
      <w:start w:val="0"/>
      <w:numFmt w:val="bullet"/>
      <w:lvlText w:val="•"/>
      <w:lvlJc w:val="left"/>
      <w:pPr>
        <w:ind w:left="4921" w:hanging="360"/>
      </w:pPr>
      <w:rPr>
        <w:rFonts w:hint="default"/>
        <w:lang w:val="en-US" w:eastAsia="en-US" w:bidi="ar-SA"/>
      </w:rPr>
    </w:lvl>
    <w:lvl w:ilvl="6">
      <w:start w:val="0"/>
      <w:numFmt w:val="bullet"/>
      <w:lvlText w:val="•"/>
      <w:lvlJc w:val="left"/>
      <w:pPr>
        <w:ind w:left="5597" w:hanging="360"/>
      </w:pPr>
      <w:rPr>
        <w:rFonts w:hint="default"/>
        <w:lang w:val="en-US" w:eastAsia="en-US" w:bidi="ar-SA"/>
      </w:rPr>
    </w:lvl>
    <w:lvl w:ilvl="7">
      <w:start w:val="0"/>
      <w:numFmt w:val="bullet"/>
      <w:lvlText w:val="•"/>
      <w:lvlJc w:val="left"/>
      <w:pPr>
        <w:ind w:left="6273" w:hanging="360"/>
      </w:pPr>
      <w:rPr>
        <w:rFonts w:hint="default"/>
        <w:lang w:val="en-US" w:eastAsia="en-US" w:bidi="ar-SA"/>
      </w:rPr>
    </w:lvl>
    <w:lvl w:ilvl="8">
      <w:start w:val="0"/>
      <w:numFmt w:val="bullet"/>
      <w:lvlText w:val="•"/>
      <w:lvlJc w:val="left"/>
      <w:pPr>
        <w:ind w:left="6949" w:hanging="360"/>
      </w:pPr>
      <w:rPr>
        <w:rFonts w:hint="default"/>
        <w:lang w:val="en-US" w:eastAsia="en-US" w:bidi="ar-SA"/>
      </w:rPr>
    </w:lvl>
  </w:abstractNum>
  <w:abstractNum w:abstractNumId="2">
    <w:multiLevelType w:val="hybridMultilevel"/>
    <w:lvl w:ilvl="0">
      <w:start w:val="0"/>
      <w:numFmt w:val="bullet"/>
      <w:lvlText w:val="o"/>
      <w:lvlJc w:val="left"/>
      <w:pPr>
        <w:ind w:left="1607" w:hanging="361"/>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2270" w:hanging="361"/>
      </w:pPr>
      <w:rPr>
        <w:rFonts w:hint="default"/>
        <w:lang w:val="en-US" w:eastAsia="en-US" w:bidi="ar-SA"/>
      </w:rPr>
    </w:lvl>
    <w:lvl w:ilvl="2">
      <w:start w:val="0"/>
      <w:numFmt w:val="bullet"/>
      <w:lvlText w:val="•"/>
      <w:lvlJc w:val="left"/>
      <w:pPr>
        <w:ind w:left="2940" w:hanging="361"/>
      </w:pPr>
      <w:rPr>
        <w:rFonts w:hint="default"/>
        <w:lang w:val="en-US" w:eastAsia="en-US" w:bidi="ar-SA"/>
      </w:rPr>
    </w:lvl>
    <w:lvl w:ilvl="3">
      <w:start w:val="0"/>
      <w:numFmt w:val="bullet"/>
      <w:lvlText w:val="•"/>
      <w:lvlJc w:val="left"/>
      <w:pPr>
        <w:ind w:left="3610" w:hanging="361"/>
      </w:pPr>
      <w:rPr>
        <w:rFonts w:hint="default"/>
        <w:lang w:val="en-US" w:eastAsia="en-US" w:bidi="ar-SA"/>
      </w:rPr>
    </w:lvl>
    <w:lvl w:ilvl="4">
      <w:start w:val="0"/>
      <w:numFmt w:val="bullet"/>
      <w:lvlText w:val="•"/>
      <w:lvlJc w:val="left"/>
      <w:pPr>
        <w:ind w:left="4280" w:hanging="361"/>
      </w:pPr>
      <w:rPr>
        <w:rFonts w:hint="default"/>
        <w:lang w:val="en-US" w:eastAsia="en-US" w:bidi="ar-SA"/>
      </w:rPr>
    </w:lvl>
    <w:lvl w:ilvl="5">
      <w:start w:val="0"/>
      <w:numFmt w:val="bullet"/>
      <w:lvlText w:val="•"/>
      <w:lvlJc w:val="left"/>
      <w:pPr>
        <w:ind w:left="4951" w:hanging="361"/>
      </w:pPr>
      <w:rPr>
        <w:rFonts w:hint="default"/>
        <w:lang w:val="en-US" w:eastAsia="en-US" w:bidi="ar-SA"/>
      </w:rPr>
    </w:lvl>
    <w:lvl w:ilvl="6">
      <w:start w:val="0"/>
      <w:numFmt w:val="bullet"/>
      <w:lvlText w:val="•"/>
      <w:lvlJc w:val="left"/>
      <w:pPr>
        <w:ind w:left="5621" w:hanging="361"/>
      </w:pPr>
      <w:rPr>
        <w:rFonts w:hint="default"/>
        <w:lang w:val="en-US" w:eastAsia="en-US" w:bidi="ar-SA"/>
      </w:rPr>
    </w:lvl>
    <w:lvl w:ilvl="7">
      <w:start w:val="0"/>
      <w:numFmt w:val="bullet"/>
      <w:lvlText w:val="•"/>
      <w:lvlJc w:val="left"/>
      <w:pPr>
        <w:ind w:left="6291" w:hanging="361"/>
      </w:pPr>
      <w:rPr>
        <w:rFonts w:hint="default"/>
        <w:lang w:val="en-US" w:eastAsia="en-US" w:bidi="ar-SA"/>
      </w:rPr>
    </w:lvl>
    <w:lvl w:ilvl="8">
      <w:start w:val="0"/>
      <w:numFmt w:val="bullet"/>
      <w:lvlText w:val="•"/>
      <w:lvlJc w:val="left"/>
      <w:pPr>
        <w:ind w:left="6961" w:hanging="361"/>
      </w:pPr>
      <w:rPr>
        <w:rFonts w:hint="default"/>
        <w:lang w:val="en-US" w:eastAsia="en-US" w:bidi="ar-SA"/>
      </w:rPr>
    </w:lvl>
  </w:abstractNum>
  <w:abstractNum w:abstractNumId="1">
    <w:multiLevelType w:val="hybridMultilevel"/>
    <w:lvl w:ilvl="0">
      <w:start w:val="0"/>
      <w:numFmt w:val="bullet"/>
      <w:lvlText w:val="o"/>
      <w:lvlJc w:val="left"/>
      <w:pPr>
        <w:ind w:left="1547"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2216" w:hanging="360"/>
      </w:pPr>
      <w:rPr>
        <w:rFonts w:hint="default"/>
        <w:lang w:val="en-US" w:eastAsia="en-US" w:bidi="ar-SA"/>
      </w:rPr>
    </w:lvl>
    <w:lvl w:ilvl="2">
      <w:start w:val="0"/>
      <w:numFmt w:val="bullet"/>
      <w:lvlText w:val="•"/>
      <w:lvlJc w:val="left"/>
      <w:pPr>
        <w:ind w:left="2893" w:hanging="360"/>
      </w:pPr>
      <w:rPr>
        <w:rFonts w:hint="default"/>
        <w:lang w:val="en-US" w:eastAsia="en-US" w:bidi="ar-SA"/>
      </w:rPr>
    </w:lvl>
    <w:lvl w:ilvl="3">
      <w:start w:val="0"/>
      <w:numFmt w:val="bullet"/>
      <w:lvlText w:val="•"/>
      <w:lvlJc w:val="left"/>
      <w:pPr>
        <w:ind w:left="3569" w:hanging="360"/>
      </w:pPr>
      <w:rPr>
        <w:rFonts w:hint="default"/>
        <w:lang w:val="en-US" w:eastAsia="en-US" w:bidi="ar-SA"/>
      </w:rPr>
    </w:lvl>
    <w:lvl w:ilvl="4">
      <w:start w:val="0"/>
      <w:numFmt w:val="bullet"/>
      <w:lvlText w:val="•"/>
      <w:lvlJc w:val="left"/>
      <w:pPr>
        <w:ind w:left="4246" w:hanging="360"/>
      </w:pPr>
      <w:rPr>
        <w:rFonts w:hint="default"/>
        <w:lang w:val="en-US" w:eastAsia="en-US" w:bidi="ar-SA"/>
      </w:rPr>
    </w:lvl>
    <w:lvl w:ilvl="5">
      <w:start w:val="0"/>
      <w:numFmt w:val="bullet"/>
      <w:lvlText w:val="•"/>
      <w:lvlJc w:val="left"/>
      <w:pPr>
        <w:ind w:left="4922" w:hanging="360"/>
      </w:pPr>
      <w:rPr>
        <w:rFonts w:hint="default"/>
        <w:lang w:val="en-US" w:eastAsia="en-US" w:bidi="ar-SA"/>
      </w:rPr>
    </w:lvl>
    <w:lvl w:ilvl="6">
      <w:start w:val="0"/>
      <w:numFmt w:val="bullet"/>
      <w:lvlText w:val="•"/>
      <w:lvlJc w:val="left"/>
      <w:pPr>
        <w:ind w:left="5599" w:hanging="360"/>
      </w:pPr>
      <w:rPr>
        <w:rFonts w:hint="default"/>
        <w:lang w:val="en-US" w:eastAsia="en-US" w:bidi="ar-SA"/>
      </w:rPr>
    </w:lvl>
    <w:lvl w:ilvl="7">
      <w:start w:val="0"/>
      <w:numFmt w:val="bullet"/>
      <w:lvlText w:val="•"/>
      <w:lvlJc w:val="left"/>
      <w:pPr>
        <w:ind w:left="6275" w:hanging="360"/>
      </w:pPr>
      <w:rPr>
        <w:rFonts w:hint="default"/>
        <w:lang w:val="en-US" w:eastAsia="en-US" w:bidi="ar-SA"/>
      </w:rPr>
    </w:lvl>
    <w:lvl w:ilvl="8">
      <w:start w:val="0"/>
      <w:numFmt w:val="bullet"/>
      <w:lvlText w:val="•"/>
      <w:lvlJc w:val="left"/>
      <w:pPr>
        <w:ind w:left="6952" w:hanging="360"/>
      </w:pPr>
      <w:rPr>
        <w:rFonts w:hint="default"/>
        <w:lang w:val="en-US" w:eastAsia="en-US" w:bidi="ar-SA"/>
      </w:rPr>
    </w:lvl>
  </w:abstractNum>
  <w:abstractNum w:abstractNumId="0">
    <w:multiLevelType w:val="hybridMultilevel"/>
    <w:lvl w:ilvl="0">
      <w:start w:val="0"/>
      <w:numFmt w:val="bullet"/>
      <w:lvlText w:val=""/>
      <w:lvlJc w:val="left"/>
      <w:pPr>
        <w:ind w:left="678" w:hanging="360"/>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232" w:hanging="360"/>
      </w:pPr>
      <w:rPr>
        <w:rFonts w:hint="default"/>
        <w:lang w:val="en-US" w:eastAsia="en-US" w:bidi="ar-SA"/>
      </w:rPr>
    </w:lvl>
    <w:lvl w:ilvl="3">
      <w:start w:val="0"/>
      <w:numFmt w:val="bullet"/>
      <w:lvlText w:val="•"/>
      <w:lvlJc w:val="left"/>
      <w:pPr>
        <w:ind w:left="3008" w:hanging="360"/>
      </w:pPr>
      <w:rPr>
        <w:rFonts w:hint="default"/>
        <w:lang w:val="en-US" w:eastAsia="en-US" w:bidi="ar-SA"/>
      </w:rPr>
    </w:lvl>
    <w:lvl w:ilvl="4">
      <w:start w:val="0"/>
      <w:numFmt w:val="bullet"/>
      <w:lvlText w:val="•"/>
      <w:lvlJc w:val="left"/>
      <w:pPr>
        <w:ind w:left="3784" w:hanging="360"/>
      </w:pPr>
      <w:rPr>
        <w:rFonts w:hint="default"/>
        <w:lang w:val="en-US" w:eastAsia="en-US" w:bidi="ar-SA"/>
      </w:rPr>
    </w:lvl>
    <w:lvl w:ilvl="5">
      <w:start w:val="0"/>
      <w:numFmt w:val="bullet"/>
      <w:lvlText w:val="•"/>
      <w:lvlJc w:val="left"/>
      <w:pPr>
        <w:ind w:left="4560" w:hanging="360"/>
      </w:pPr>
      <w:rPr>
        <w:rFonts w:hint="default"/>
        <w:lang w:val="en-US" w:eastAsia="en-US" w:bidi="ar-SA"/>
      </w:rPr>
    </w:lvl>
    <w:lvl w:ilvl="6">
      <w:start w:val="0"/>
      <w:numFmt w:val="bullet"/>
      <w:lvlText w:val="•"/>
      <w:lvlJc w:val="left"/>
      <w:pPr>
        <w:ind w:left="5336" w:hanging="360"/>
      </w:pPr>
      <w:rPr>
        <w:rFonts w:hint="default"/>
        <w:lang w:val="en-US" w:eastAsia="en-US" w:bidi="ar-SA"/>
      </w:rPr>
    </w:lvl>
    <w:lvl w:ilvl="7">
      <w:start w:val="0"/>
      <w:numFmt w:val="bullet"/>
      <w:lvlText w:val="•"/>
      <w:lvlJc w:val="left"/>
      <w:pPr>
        <w:ind w:left="6112" w:hanging="360"/>
      </w:pPr>
      <w:rPr>
        <w:rFonts w:hint="default"/>
        <w:lang w:val="en-US" w:eastAsia="en-US" w:bidi="ar-SA"/>
      </w:rPr>
    </w:lvl>
    <w:lvl w:ilvl="8">
      <w:start w:val="0"/>
      <w:numFmt w:val="bullet"/>
      <w:lvlText w:val="•"/>
      <w:lvlJc w:val="left"/>
      <w:pPr>
        <w:ind w:left="6888"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24"/>
      <w:szCs w:val="24"/>
      <w:lang w:val="en-US" w:eastAsia="en-US" w:bidi="ar-SA"/>
    </w:rPr>
  </w:style>
  <w:style w:styleId="Heading1" w:type="paragraph">
    <w:name w:val="Heading 1"/>
    <w:basedOn w:val="Normal"/>
    <w:uiPriority w:val="1"/>
    <w:qFormat/>
    <w:pPr>
      <w:ind w:left="1015"/>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before="75"/>
      <w:ind w:left="1015"/>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MT" w:hAnsi="Arial MT" w:eastAsia="Arial MT" w:cs="Arial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hyperlink" Target="http://uhsm-intranet/policies/Pages/default.aspx" TargetMode="External"/><Relationship Id="rId12" Type="http://schemas.openxmlformats.org/officeDocument/2006/relationships/image" Target="media/image6.png"/><Relationship Id="rId13" Type="http://schemas.openxmlformats.org/officeDocument/2006/relationships/hyperlink" Target="http://www.ncepod.org.uk/2012cap.htm" TargetMode="External"/><Relationship Id="rId14" Type="http://schemas.openxmlformats.org/officeDocument/2006/relationships/hyperlink" Target="http://uhsm-intranet/AZ/m/MedicinesManagement/Pages/MedicinesManagementPolicies.aspx" TargetMode="External"/><Relationship Id="rId15" Type="http://schemas.openxmlformats.org/officeDocument/2006/relationships/hyperlink" Target="http://www.nelm.nhs.uk/en/NeLM-Area/Evidence/Guidelines/NICE-clinical-guideline-on-the-triage-assessment-investigation-and-early-management-of-head-injury-in-infants-children-and-adults/?query=warfarin&amp;rank=51" TargetMode="External"/><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hyperlink" Target="http://www.patientsafetyfirst.nhs.uk/" TargetMode="External"/><Relationship Id="rId20" Type="http://schemas.openxmlformats.org/officeDocument/2006/relationships/hyperlink" Target="http://www.survivingsepsis.org/" TargetMode="External"/><Relationship Id="rId21" Type="http://schemas.openxmlformats.org/officeDocument/2006/relationships/hyperlink" Target="http://www.dh.gov.uk/en/Publicationsandstatistics/Publications/PublicationsPolicyAndGuidance/DH_072769" TargetMode="External"/><Relationship Id="rId22" Type="http://schemas.openxmlformats.org/officeDocument/2006/relationships/hyperlink" Target="http://www.dh.gov.uk/en/Publicationsandstatistics/Publications/PublicationsPolicyAndGuidance/DH_4121049" TargetMode="External"/><Relationship Id="rId23" Type="http://schemas.openxmlformats.org/officeDocument/2006/relationships/hyperlink" Target="http://www.dh.gov.uk/en/Publicationsandstatistics/Publications/PublicationsPolicyAndGuidance/DH_4086057" TargetMode="External"/><Relationship Id="rId24" Type="http://schemas.openxmlformats.org/officeDocument/2006/relationships/hyperlink" Target="http://www.dh.gov.uk/en/Publicationsandstatistics/Publications/PublicationsPolicyAndGuidance/DH_4086665" TargetMode="External"/><Relationship Id="rId25" Type="http://schemas.openxmlformats.org/officeDocument/2006/relationships/hyperlink" Target="http://www.dh.gov.uk/en/Publicationsandstatistics/Publications/PublicationsPolicyAndGuidance/DH_4084516" TargetMode="External"/><Relationship Id="rId26" Type="http://schemas.openxmlformats.org/officeDocument/2006/relationships/hyperlink" Target="http://www.dh.gov.uk/en/Publicationsandstatistics/Publications/PublicationsPolicyAndGuidance/DH_4091873" TargetMode="External"/><Relationship Id="rId27" Type="http://schemas.openxmlformats.org/officeDocument/2006/relationships/hyperlink" Target="http://www.ics.ac.uk/downloads/ICM%20Prof_Pulications_Other%20publications/Other%20organisation%20and%20NHS%20publications%20below/Comprehensive%20Critical%20Care.pdf" TargetMode="External"/><Relationship Id="rId28" Type="http://schemas.openxmlformats.org/officeDocument/2006/relationships/hyperlink" Target="http://www.ics.ac.uk/icmprof/downloads/icsstandards-outreach.pdf" TargetMode="External"/><Relationship Id="rId29" Type="http://schemas.openxmlformats.org/officeDocument/2006/relationships/hyperlink" Target="http://www.ncepod.org.uk/2005aap.htm" TargetMode="External"/><Relationship Id="rId30" Type="http://schemas.openxmlformats.org/officeDocument/2006/relationships/hyperlink" Target="http://www.nice.org.uk/CG50" TargetMode="External"/><Relationship Id="rId31" Type="http://schemas.openxmlformats.org/officeDocument/2006/relationships/hyperlink" Target="http://www.npsa.nhs.uk/patientsafety/alerts-and-directives/directives-guidance/acutely-ill-patient/" TargetMode="External"/><Relationship Id="rId32" Type="http://schemas.openxmlformats.org/officeDocument/2006/relationships/hyperlink" Target="http://www.npsa.nhs.uk/patientsafety/alerts-and-directives/cleaning-and-nutrition/nutrition/nutritional-screening-project" TargetMode="External"/><Relationship Id="rId33" Type="http://schemas.openxmlformats.org/officeDocument/2006/relationships/image" Target="media/image10.png"/><Relationship Id="rId34" Type="http://schemas.openxmlformats.org/officeDocument/2006/relationships/image" Target="media/image11.png"/><Relationship Id="rId35" Type="http://schemas.openxmlformats.org/officeDocument/2006/relationships/image" Target="media/image12.png"/><Relationship Id="rId36" Type="http://schemas.openxmlformats.org/officeDocument/2006/relationships/image" Target="media/image13.png"/><Relationship Id="rId37" Type="http://schemas.openxmlformats.org/officeDocument/2006/relationships/image" Target="media/image14.png"/><Relationship Id="rId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egrainger</dc:creator>
  <dc:title>Appendix E - Template</dc:title>
  <dcterms:created xsi:type="dcterms:W3CDTF">2025-02-06T13:43:38Z</dcterms:created>
  <dcterms:modified xsi:type="dcterms:W3CDTF">2025-02-06T13:43:38Z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2012-09-03T00:00:00Z</vt:filetime>
  </property>
  <property fmtid="{D5CDD505-2E9C-101B-9397-08002B2CF9AE}" pid="3" name="Creator">
    <vt:lpwstr>Microsoft® Office Word 2007</vt:lpwstr>
  </property>
  <property fmtid="{D5CDD505-2E9C-101B-9397-08002B2CF9AE}" pid="4" name="LastSaved">
    <vt:filetime>2025-02-06T00:00:00Z</vt:filetime>
  </property>
  <property fmtid="{D5CDD505-2E9C-101B-9397-08002B2CF9AE}" pid="5" name="Producer">
    <vt:lpwstr>Microsoft® Office Word 2007</vt:lpwstr>
  </property>
</Properties>
</file>